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74" w:rsidRPr="00F52043" w:rsidRDefault="00B44574" w:rsidP="00B44574">
      <w:pPr>
        <w:pStyle w:val="Titolo"/>
        <w:spacing w:line="560" w:lineRule="exact"/>
        <w:jc w:val="right"/>
        <w:rPr>
          <w:rFonts w:ascii="Verdana" w:hAnsi="Verdana"/>
          <w:sz w:val="20"/>
        </w:rPr>
      </w:pPr>
      <w:r w:rsidRPr="00F52043">
        <w:rPr>
          <w:rFonts w:ascii="Verdana" w:hAnsi="Verdana"/>
          <w:sz w:val="20"/>
        </w:rPr>
        <w:t>Deliberazione n</w:t>
      </w:r>
      <w:r w:rsidR="00513671">
        <w:rPr>
          <w:rFonts w:ascii="Verdana" w:hAnsi="Verdana"/>
          <w:sz w:val="20"/>
        </w:rPr>
        <w:t>.</w:t>
      </w:r>
      <w:r w:rsidR="008D60B5">
        <w:rPr>
          <w:rFonts w:ascii="Verdana" w:hAnsi="Verdana"/>
          <w:sz w:val="20"/>
        </w:rPr>
        <w:t xml:space="preserve"> </w:t>
      </w:r>
      <w:r w:rsidR="002022B0">
        <w:rPr>
          <w:rFonts w:ascii="Verdana" w:hAnsi="Verdana"/>
          <w:sz w:val="20"/>
        </w:rPr>
        <w:t xml:space="preserve"> </w:t>
      </w:r>
      <w:r w:rsidR="00513671">
        <w:rPr>
          <w:rFonts w:ascii="Verdana" w:hAnsi="Verdana"/>
          <w:sz w:val="20"/>
        </w:rPr>
        <w:t>77</w:t>
      </w:r>
      <w:r w:rsidRPr="00F52043">
        <w:rPr>
          <w:rFonts w:ascii="Verdana" w:hAnsi="Verdana"/>
          <w:sz w:val="20"/>
        </w:rPr>
        <w:t>/2017/</w:t>
      </w:r>
      <w:r w:rsidR="00F52043">
        <w:rPr>
          <w:rFonts w:ascii="Verdana" w:hAnsi="Verdana"/>
          <w:sz w:val="20"/>
        </w:rPr>
        <w:t>VSGO</w:t>
      </w:r>
    </w:p>
    <w:p w:rsidR="00B44574" w:rsidRPr="00F52043" w:rsidRDefault="00B44574" w:rsidP="00B44574">
      <w:pPr>
        <w:jc w:val="both"/>
        <w:rPr>
          <w:rFonts w:ascii="Verdana" w:hAnsi="Verdana"/>
          <w:b/>
          <w:sz w:val="20"/>
          <w:szCs w:val="20"/>
          <w:u w:val="single"/>
        </w:rPr>
      </w:pPr>
    </w:p>
    <w:p w:rsidR="00B44574" w:rsidRPr="00F52043" w:rsidRDefault="00B44574" w:rsidP="00B44574">
      <w:pPr>
        <w:jc w:val="center"/>
        <w:rPr>
          <w:rFonts w:ascii="Verdana" w:hAnsi="Verdana"/>
          <w:sz w:val="20"/>
          <w:szCs w:val="20"/>
        </w:rPr>
      </w:pPr>
      <w:r w:rsidRPr="00F52043">
        <w:rPr>
          <w:rFonts w:ascii="Verdana" w:hAnsi="Verdana"/>
          <w:sz w:val="20"/>
          <w:szCs w:val="20"/>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25pt" o:ole="">
            <v:imagedata r:id="rId8" o:title=""/>
          </v:shape>
          <o:OLEObject Type="Embed" ProgID="Word.Picture.8" ShapeID="_x0000_i1025" DrawAspect="Content" ObjectID="_1583736923" r:id="rId9"/>
        </w:object>
      </w:r>
    </w:p>
    <w:p w:rsidR="00B44574" w:rsidRPr="00F52043" w:rsidRDefault="00B44574" w:rsidP="00B44574">
      <w:pPr>
        <w:jc w:val="center"/>
        <w:rPr>
          <w:rFonts w:ascii="Verdana" w:hAnsi="Verdana"/>
          <w:sz w:val="20"/>
          <w:szCs w:val="20"/>
        </w:rPr>
      </w:pPr>
    </w:p>
    <w:p w:rsidR="00B44574" w:rsidRPr="00F52043" w:rsidRDefault="00B44574" w:rsidP="00B44574">
      <w:pPr>
        <w:jc w:val="center"/>
        <w:rPr>
          <w:rFonts w:ascii="Verdana" w:hAnsi="Verdana"/>
          <w:smallCaps/>
          <w:sz w:val="20"/>
          <w:szCs w:val="20"/>
        </w:rPr>
      </w:pPr>
      <w:r w:rsidRPr="00F52043">
        <w:rPr>
          <w:rFonts w:ascii="Verdana" w:hAnsi="Verdana"/>
          <w:smallCaps/>
          <w:sz w:val="20"/>
          <w:szCs w:val="20"/>
        </w:rPr>
        <w:t>Sezione Regionale di Controllo per l’Emilia-Romagna</w:t>
      </w:r>
      <w:r w:rsidRPr="00F52043">
        <w:rPr>
          <w:rFonts w:ascii="Verdana" w:hAnsi="Verdana"/>
          <w:smallCaps/>
          <w:sz w:val="20"/>
          <w:szCs w:val="20"/>
        </w:rPr>
        <w:br/>
      </w:r>
      <w:r w:rsidRPr="00F52043">
        <w:rPr>
          <w:rFonts w:ascii="Verdana" w:hAnsi="Verdana"/>
          <w:smallCaps/>
          <w:sz w:val="20"/>
          <w:szCs w:val="20"/>
        </w:rPr>
        <w:br/>
      </w:r>
    </w:p>
    <w:p w:rsidR="00B44574" w:rsidRPr="00F52043" w:rsidRDefault="00B44574" w:rsidP="00B44574">
      <w:pPr>
        <w:pStyle w:val="Titolo"/>
        <w:spacing w:line="360" w:lineRule="auto"/>
        <w:ind w:firstLine="720"/>
        <w:jc w:val="left"/>
        <w:rPr>
          <w:rFonts w:ascii="Verdana" w:hAnsi="Verdana"/>
          <w:b w:val="0"/>
          <w:bCs/>
          <w:sz w:val="20"/>
        </w:rPr>
      </w:pPr>
      <w:r w:rsidRPr="00F52043">
        <w:rPr>
          <w:rFonts w:ascii="Verdana" w:hAnsi="Verdana"/>
          <w:b w:val="0"/>
          <w:bCs/>
          <w:sz w:val="20"/>
        </w:rPr>
        <w:t>composta dai magistrati:</w:t>
      </w:r>
    </w:p>
    <w:p w:rsidR="00B44574" w:rsidRPr="00F52043" w:rsidRDefault="00B44574" w:rsidP="00B44574">
      <w:pPr>
        <w:pStyle w:val="Titolo"/>
        <w:spacing w:line="360" w:lineRule="auto"/>
        <w:ind w:firstLine="720"/>
        <w:jc w:val="left"/>
        <w:rPr>
          <w:rFonts w:ascii="Verdana" w:hAnsi="Verdana"/>
          <w:b w:val="0"/>
          <w:bCs/>
          <w:sz w:val="20"/>
        </w:rPr>
      </w:pPr>
      <w:r w:rsidRPr="00F52043">
        <w:rPr>
          <w:rFonts w:ascii="Verdana" w:hAnsi="Verdana"/>
          <w:b w:val="0"/>
          <w:bCs/>
          <w:sz w:val="20"/>
        </w:rPr>
        <w:t>dott. Carlo Greco</w:t>
      </w:r>
      <w:r w:rsidRPr="00F52043">
        <w:rPr>
          <w:rFonts w:ascii="Verdana" w:hAnsi="Verdana"/>
          <w:b w:val="0"/>
          <w:bCs/>
          <w:sz w:val="20"/>
        </w:rPr>
        <w:tab/>
      </w:r>
      <w:r w:rsidRPr="00F52043">
        <w:rPr>
          <w:rFonts w:ascii="Verdana" w:hAnsi="Verdana"/>
          <w:b w:val="0"/>
          <w:bCs/>
          <w:sz w:val="20"/>
        </w:rPr>
        <w:tab/>
      </w:r>
      <w:r w:rsidRPr="00F52043">
        <w:rPr>
          <w:rFonts w:ascii="Verdana" w:hAnsi="Verdana"/>
          <w:b w:val="0"/>
          <w:bCs/>
          <w:sz w:val="20"/>
        </w:rPr>
        <w:tab/>
        <w:t>presidente</w:t>
      </w:r>
    </w:p>
    <w:p w:rsidR="00B44574" w:rsidRPr="00F52043" w:rsidRDefault="00B44574" w:rsidP="00B44574">
      <w:pPr>
        <w:pStyle w:val="Titolo"/>
        <w:spacing w:line="360" w:lineRule="auto"/>
        <w:ind w:firstLine="720"/>
        <w:jc w:val="left"/>
        <w:rPr>
          <w:rFonts w:ascii="Verdana" w:hAnsi="Verdana"/>
          <w:b w:val="0"/>
          <w:bCs/>
          <w:sz w:val="20"/>
        </w:rPr>
      </w:pPr>
      <w:r w:rsidRPr="00F52043">
        <w:rPr>
          <w:rFonts w:ascii="Verdana" w:hAnsi="Verdana"/>
          <w:b w:val="0"/>
          <w:bCs/>
          <w:sz w:val="20"/>
        </w:rPr>
        <w:t>dott. Paolo Romano</w:t>
      </w:r>
      <w:r w:rsidRPr="00F52043">
        <w:rPr>
          <w:rFonts w:ascii="Verdana" w:hAnsi="Verdana"/>
          <w:b w:val="0"/>
          <w:bCs/>
          <w:sz w:val="20"/>
        </w:rPr>
        <w:tab/>
      </w:r>
      <w:r w:rsidRPr="00F52043">
        <w:rPr>
          <w:rFonts w:ascii="Verdana" w:hAnsi="Verdana"/>
          <w:b w:val="0"/>
          <w:bCs/>
          <w:sz w:val="20"/>
        </w:rPr>
        <w:tab/>
      </w:r>
      <w:r w:rsidRPr="00F52043">
        <w:rPr>
          <w:rFonts w:ascii="Verdana" w:hAnsi="Verdana"/>
          <w:b w:val="0"/>
          <w:bCs/>
          <w:sz w:val="20"/>
        </w:rPr>
        <w:tab/>
        <w:t>consigliere</w:t>
      </w:r>
    </w:p>
    <w:p w:rsidR="00B44574" w:rsidRPr="00F52043" w:rsidRDefault="00B44574" w:rsidP="00B44574">
      <w:pPr>
        <w:pStyle w:val="Titolo"/>
        <w:spacing w:line="360" w:lineRule="auto"/>
        <w:ind w:firstLine="720"/>
        <w:jc w:val="left"/>
        <w:rPr>
          <w:rFonts w:ascii="Verdana" w:hAnsi="Verdana"/>
          <w:b w:val="0"/>
          <w:bCs/>
          <w:sz w:val="20"/>
        </w:rPr>
      </w:pPr>
      <w:r w:rsidRPr="00F52043">
        <w:rPr>
          <w:rFonts w:ascii="Verdana" w:hAnsi="Verdana"/>
          <w:b w:val="0"/>
          <w:bCs/>
          <w:sz w:val="20"/>
        </w:rPr>
        <w:t>dott. Riccardo Patumi</w:t>
      </w:r>
      <w:r w:rsidRPr="00F52043">
        <w:rPr>
          <w:rFonts w:ascii="Verdana" w:hAnsi="Verdana"/>
          <w:b w:val="0"/>
          <w:bCs/>
          <w:sz w:val="20"/>
        </w:rPr>
        <w:tab/>
      </w:r>
      <w:r w:rsidRPr="00F52043">
        <w:rPr>
          <w:rFonts w:ascii="Verdana" w:hAnsi="Verdana"/>
          <w:b w:val="0"/>
          <w:bCs/>
          <w:sz w:val="20"/>
        </w:rPr>
        <w:tab/>
        <w:t>primo referendario</w:t>
      </w:r>
      <w:r w:rsidR="0038033C">
        <w:rPr>
          <w:rFonts w:ascii="Verdana" w:hAnsi="Verdana"/>
          <w:b w:val="0"/>
          <w:bCs/>
          <w:sz w:val="20"/>
        </w:rPr>
        <w:t xml:space="preserve"> </w:t>
      </w:r>
    </w:p>
    <w:p w:rsidR="00B44574" w:rsidRPr="001B456A" w:rsidRDefault="00B44574" w:rsidP="001B456A">
      <w:pPr>
        <w:pStyle w:val="Titolo"/>
        <w:spacing w:after="240" w:line="360" w:lineRule="auto"/>
        <w:ind w:firstLine="720"/>
        <w:jc w:val="left"/>
        <w:rPr>
          <w:rFonts w:ascii="Verdana" w:hAnsi="Verdana"/>
          <w:b w:val="0"/>
          <w:bCs/>
          <w:sz w:val="20"/>
        </w:rPr>
      </w:pPr>
      <w:r w:rsidRPr="00F52043">
        <w:rPr>
          <w:rFonts w:ascii="Verdana" w:hAnsi="Verdana"/>
          <w:b w:val="0"/>
          <w:bCs/>
          <w:sz w:val="20"/>
        </w:rPr>
        <w:t>dott. Federico Lorenzini</w:t>
      </w:r>
      <w:r w:rsidRPr="00F52043">
        <w:rPr>
          <w:rFonts w:ascii="Verdana" w:hAnsi="Verdana"/>
          <w:b w:val="0"/>
          <w:bCs/>
          <w:sz w:val="20"/>
        </w:rPr>
        <w:tab/>
      </w:r>
      <w:r w:rsidRPr="00F52043">
        <w:rPr>
          <w:rFonts w:ascii="Verdana" w:hAnsi="Verdana"/>
          <w:b w:val="0"/>
          <w:bCs/>
          <w:sz w:val="20"/>
        </w:rPr>
        <w:tab/>
        <w:t>primo referendario</w:t>
      </w:r>
      <w:r w:rsidR="006B0CEC">
        <w:rPr>
          <w:rFonts w:ascii="Verdana" w:hAnsi="Verdana"/>
          <w:b w:val="0"/>
          <w:bCs/>
          <w:sz w:val="20"/>
        </w:rPr>
        <w:t xml:space="preserve"> </w:t>
      </w:r>
      <w:r w:rsidR="002022B0">
        <w:rPr>
          <w:rFonts w:ascii="Verdana" w:hAnsi="Verdana"/>
          <w:b w:val="0"/>
          <w:bCs/>
          <w:sz w:val="20"/>
        </w:rPr>
        <w:t>(relatore)</w:t>
      </w:r>
    </w:p>
    <w:p w:rsidR="00366160" w:rsidRPr="00F52043" w:rsidRDefault="00290DE8" w:rsidP="002B1A26">
      <w:pPr>
        <w:widowControl w:val="0"/>
        <w:spacing w:before="120" w:line="360" w:lineRule="auto"/>
        <w:jc w:val="center"/>
        <w:rPr>
          <w:rFonts w:ascii="Verdana" w:hAnsi="Verdana"/>
          <w:b/>
          <w:sz w:val="20"/>
          <w:szCs w:val="20"/>
        </w:rPr>
      </w:pPr>
      <w:r w:rsidRPr="00F52043">
        <w:rPr>
          <w:rFonts w:ascii="Verdana" w:hAnsi="Verdana"/>
          <w:b/>
          <w:sz w:val="20"/>
          <w:szCs w:val="20"/>
        </w:rPr>
        <w:t xml:space="preserve">Adunanza del </w:t>
      </w:r>
      <w:r w:rsidR="00543A6D">
        <w:rPr>
          <w:rFonts w:ascii="Verdana" w:hAnsi="Verdana"/>
          <w:b/>
          <w:sz w:val="20"/>
          <w:szCs w:val="20"/>
        </w:rPr>
        <w:t>9 maggio</w:t>
      </w:r>
      <w:r w:rsidRPr="00F52043">
        <w:rPr>
          <w:rFonts w:ascii="Verdana" w:hAnsi="Verdana"/>
          <w:b/>
          <w:sz w:val="20"/>
          <w:szCs w:val="20"/>
        </w:rPr>
        <w:t xml:space="preserve"> </w:t>
      </w:r>
      <w:r w:rsidR="00370E1E">
        <w:rPr>
          <w:rFonts w:ascii="Verdana" w:hAnsi="Verdana"/>
          <w:b/>
          <w:sz w:val="20"/>
          <w:szCs w:val="20"/>
        </w:rPr>
        <w:t>2017</w:t>
      </w:r>
    </w:p>
    <w:p w:rsidR="002A4FD8" w:rsidRPr="00F52043" w:rsidRDefault="000417CC" w:rsidP="000133D0">
      <w:pPr>
        <w:widowControl w:val="0"/>
        <w:spacing w:line="360" w:lineRule="auto"/>
        <w:ind w:firstLine="708"/>
        <w:jc w:val="both"/>
        <w:rPr>
          <w:rFonts w:ascii="Verdana" w:hAnsi="Verdana"/>
          <w:sz w:val="20"/>
          <w:szCs w:val="20"/>
        </w:rPr>
      </w:pPr>
      <w:r>
        <w:rPr>
          <w:rFonts w:ascii="Verdana" w:hAnsi="Verdana"/>
          <w:b/>
          <w:sz w:val="20"/>
          <w:szCs w:val="20"/>
        </w:rPr>
        <w:t xml:space="preserve">Comune di </w:t>
      </w:r>
      <w:r w:rsidR="008D60B5">
        <w:rPr>
          <w:rFonts w:ascii="Verdana" w:hAnsi="Verdana"/>
          <w:b/>
          <w:sz w:val="20"/>
          <w:szCs w:val="20"/>
        </w:rPr>
        <w:t>Ferrara</w:t>
      </w:r>
      <w:r w:rsidR="004377D9">
        <w:rPr>
          <w:rFonts w:ascii="Verdana" w:hAnsi="Verdana"/>
          <w:b/>
          <w:sz w:val="20"/>
          <w:szCs w:val="20"/>
        </w:rPr>
        <w:t xml:space="preserve"> -</w:t>
      </w:r>
      <w:r w:rsidR="002A4FD8" w:rsidRPr="00F52043">
        <w:rPr>
          <w:rFonts w:ascii="Verdana" w:hAnsi="Verdana"/>
          <w:b/>
          <w:sz w:val="20"/>
          <w:szCs w:val="20"/>
        </w:rPr>
        <w:t xml:space="preserve"> Relazione sui ser</w:t>
      </w:r>
      <w:r w:rsidR="00186AE3" w:rsidRPr="00F52043">
        <w:rPr>
          <w:rFonts w:ascii="Verdana" w:hAnsi="Verdana"/>
          <w:b/>
          <w:sz w:val="20"/>
          <w:szCs w:val="20"/>
        </w:rPr>
        <w:t>vizi legali attribuiti nel</w:t>
      </w:r>
      <w:r w:rsidR="002A4FD8" w:rsidRPr="00F52043">
        <w:rPr>
          <w:rFonts w:ascii="Verdana" w:hAnsi="Verdana"/>
          <w:b/>
          <w:sz w:val="20"/>
          <w:szCs w:val="20"/>
        </w:rPr>
        <w:t xml:space="preserve"> 201</w:t>
      </w:r>
      <w:r>
        <w:rPr>
          <w:rFonts w:ascii="Verdana" w:hAnsi="Verdana"/>
          <w:b/>
          <w:sz w:val="20"/>
          <w:szCs w:val="20"/>
        </w:rPr>
        <w:t>5</w:t>
      </w:r>
    </w:p>
    <w:p w:rsidR="00186AE3" w:rsidRPr="00F52043" w:rsidRDefault="00186AE3" w:rsidP="000133D0">
      <w:pPr>
        <w:widowControl w:val="0"/>
        <w:spacing w:line="360" w:lineRule="auto"/>
        <w:ind w:firstLine="708"/>
        <w:jc w:val="both"/>
        <w:rPr>
          <w:rFonts w:ascii="Verdana" w:hAnsi="Verdana"/>
          <w:sz w:val="20"/>
          <w:szCs w:val="20"/>
        </w:rPr>
      </w:pPr>
      <w:r w:rsidRPr="00F52043">
        <w:rPr>
          <w:rFonts w:ascii="Verdana" w:hAnsi="Verdana"/>
          <w:sz w:val="20"/>
          <w:szCs w:val="20"/>
        </w:rPr>
        <w:t>Visto l’art. 100, comma secondo, della Costituzione</w:t>
      </w:r>
      <w:r w:rsidR="006D315D">
        <w:rPr>
          <w:rFonts w:ascii="Verdana" w:hAnsi="Verdana"/>
          <w:sz w:val="20"/>
          <w:szCs w:val="20"/>
        </w:rPr>
        <w:t>;</w:t>
      </w:r>
    </w:p>
    <w:p w:rsidR="00186AE3" w:rsidRPr="00F52043" w:rsidRDefault="00186AE3" w:rsidP="000133D0">
      <w:pPr>
        <w:widowControl w:val="0"/>
        <w:spacing w:line="360" w:lineRule="auto"/>
        <w:ind w:firstLine="708"/>
        <w:jc w:val="both"/>
        <w:rPr>
          <w:rFonts w:ascii="Verdana" w:hAnsi="Verdana"/>
          <w:sz w:val="20"/>
          <w:szCs w:val="20"/>
        </w:rPr>
      </w:pPr>
      <w:r w:rsidRPr="00F52043">
        <w:rPr>
          <w:rFonts w:ascii="Verdana" w:hAnsi="Verdana"/>
          <w:sz w:val="20"/>
          <w:szCs w:val="20"/>
        </w:rPr>
        <w:t>Visto il testo unico delle leggi sulla Corte dei cont</w:t>
      </w:r>
      <w:r w:rsidR="0076405E">
        <w:rPr>
          <w:rFonts w:ascii="Verdana" w:hAnsi="Verdana"/>
          <w:sz w:val="20"/>
          <w:szCs w:val="20"/>
        </w:rPr>
        <w:t xml:space="preserve">i, approvato con R.D. </w:t>
      </w:r>
      <w:r w:rsidR="0076405E">
        <w:rPr>
          <w:rFonts w:ascii="Verdana" w:hAnsi="Verdana"/>
          <w:sz w:val="20"/>
          <w:szCs w:val="20"/>
        </w:rPr>
        <w:br/>
        <w:t xml:space="preserve">12 luglio </w:t>
      </w:r>
      <w:r w:rsidRPr="00F52043">
        <w:rPr>
          <w:rFonts w:ascii="Verdana" w:hAnsi="Verdana"/>
          <w:sz w:val="20"/>
          <w:szCs w:val="20"/>
        </w:rPr>
        <w:t>1934, n. 1214 e successive modificazioni;</w:t>
      </w:r>
    </w:p>
    <w:p w:rsidR="00186AE3" w:rsidRPr="00F52043" w:rsidRDefault="00186AE3" w:rsidP="000133D0">
      <w:pPr>
        <w:widowControl w:val="0"/>
        <w:spacing w:line="360" w:lineRule="auto"/>
        <w:ind w:firstLine="708"/>
        <w:jc w:val="both"/>
        <w:rPr>
          <w:rFonts w:ascii="Verdana" w:hAnsi="Verdana"/>
          <w:sz w:val="20"/>
          <w:szCs w:val="20"/>
        </w:rPr>
      </w:pPr>
      <w:r w:rsidRPr="00F52043">
        <w:rPr>
          <w:rFonts w:ascii="Verdana" w:hAnsi="Verdana"/>
          <w:sz w:val="20"/>
          <w:szCs w:val="20"/>
        </w:rPr>
        <w:t>Vista la legge 14 gennaio 1994, n. 20, recante disposizioni in materia di giurisdizione e controllo della Corte dei conti;</w:t>
      </w:r>
    </w:p>
    <w:p w:rsidR="00186AE3" w:rsidRPr="0005652F" w:rsidRDefault="00186AE3" w:rsidP="000133D0">
      <w:pPr>
        <w:widowControl w:val="0"/>
        <w:spacing w:line="360" w:lineRule="auto"/>
        <w:ind w:firstLine="708"/>
        <w:jc w:val="both"/>
        <w:rPr>
          <w:rFonts w:ascii="Verdana" w:hAnsi="Verdana"/>
          <w:sz w:val="20"/>
          <w:szCs w:val="20"/>
        </w:rPr>
      </w:pPr>
      <w:r w:rsidRPr="00F52043">
        <w:rPr>
          <w:rFonts w:ascii="Verdana" w:hAnsi="Verdana"/>
          <w:sz w:val="20"/>
          <w:szCs w:val="20"/>
        </w:rPr>
        <w:t xml:space="preserve">Vista la deliberazione delle Sezioni riunite della Corte dei conti n. 14 del 16 giugno 2000, che ha approvato il regolamento per l’organizzazione delle funzioni di controllo della Corte dei conti, modificata con le deliberazioni delle Sezioni riunite n. 2 del 3 luglio 2003 e n. 1 del 17 dicembre 2004 e da ultimo, con deliberazione del Consiglio di Presidenza n. 229 dell’11 </w:t>
      </w:r>
      <w:r w:rsidRPr="0005652F">
        <w:rPr>
          <w:rFonts w:ascii="Verdana" w:hAnsi="Verdana"/>
          <w:sz w:val="20"/>
          <w:szCs w:val="20"/>
        </w:rPr>
        <w:t>giugno 2008;</w:t>
      </w:r>
    </w:p>
    <w:p w:rsidR="008022AA" w:rsidRDefault="00143A80" w:rsidP="000133D0">
      <w:pPr>
        <w:pStyle w:val="Corpodeltesto"/>
        <w:widowControl w:val="0"/>
        <w:spacing w:after="0" w:line="360" w:lineRule="auto"/>
        <w:ind w:firstLine="708"/>
        <w:jc w:val="both"/>
        <w:rPr>
          <w:rFonts w:ascii="Verdana" w:hAnsi="Verdana"/>
          <w:sz w:val="20"/>
        </w:rPr>
      </w:pPr>
      <w:r w:rsidRPr="0005652F">
        <w:rPr>
          <w:rFonts w:ascii="Verdana" w:hAnsi="Verdana"/>
          <w:sz w:val="20"/>
        </w:rPr>
        <w:t>Visto l’art. 7 comma 6 e segg. del decreto legislativo 30 marzo 2001, n.165, recante “Norme generali sull’ordinamento del lavoro alle dipendenze d</w:t>
      </w:r>
      <w:r w:rsidR="000133D0">
        <w:rPr>
          <w:rFonts w:ascii="Verdana" w:hAnsi="Verdana"/>
          <w:sz w:val="20"/>
        </w:rPr>
        <w:t>elle amministrazioni pubbliche”</w:t>
      </w:r>
      <w:r w:rsidR="00F15AD6">
        <w:rPr>
          <w:rFonts w:ascii="Verdana" w:hAnsi="Verdana"/>
          <w:sz w:val="20"/>
        </w:rPr>
        <w:t>;</w:t>
      </w:r>
    </w:p>
    <w:p w:rsidR="00E61951" w:rsidRDefault="000133D0" w:rsidP="000133D0">
      <w:pPr>
        <w:pStyle w:val="Corpodeltesto"/>
        <w:widowControl w:val="0"/>
        <w:spacing w:after="0" w:line="360" w:lineRule="auto"/>
        <w:ind w:firstLine="708"/>
        <w:jc w:val="both"/>
        <w:rPr>
          <w:b/>
          <w:bCs/>
          <w:sz w:val="18"/>
          <w:szCs w:val="18"/>
        </w:rPr>
      </w:pPr>
      <w:r w:rsidRPr="0005652F">
        <w:rPr>
          <w:rFonts w:ascii="Verdana" w:hAnsi="Verdana"/>
          <w:sz w:val="20"/>
          <w:szCs w:val="20"/>
        </w:rPr>
        <w:t xml:space="preserve">Visti gli artt. 4 e 17 del d.lgs. 18 aprile 2016, n. 50 </w:t>
      </w:r>
      <w:r w:rsidRPr="00400BBD">
        <w:rPr>
          <w:rFonts w:ascii="Verdana" w:hAnsi="Verdana"/>
          <w:sz w:val="20"/>
          <w:szCs w:val="20"/>
        </w:rPr>
        <w:t>(</w:t>
      </w:r>
      <w:r w:rsidRPr="00400BBD">
        <w:rPr>
          <w:rFonts w:ascii="Verdana" w:eastAsia="Arial Unicode MS" w:hAnsi="Verdana" w:cs="Arial Unicode MS"/>
          <w:sz w:val="20"/>
        </w:rPr>
        <w:t>“</w:t>
      </w:r>
      <w:r w:rsidRPr="00400BBD">
        <w:rPr>
          <w:rFonts w:ascii="Verdana" w:hAnsi="Verdana"/>
          <w:bCs/>
          <w:sz w:val="20"/>
          <w:szCs w:val="20"/>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00F15AD6">
        <w:rPr>
          <w:rFonts w:ascii="Verdana" w:hAnsi="Verdana"/>
          <w:bCs/>
          <w:sz w:val="20"/>
          <w:szCs w:val="20"/>
        </w:rPr>
        <w:t>;</w:t>
      </w:r>
    </w:p>
    <w:p w:rsidR="000133D0" w:rsidRPr="000133D0" w:rsidRDefault="000133D0" w:rsidP="000133D0">
      <w:pPr>
        <w:pStyle w:val="Corpodeltesto"/>
        <w:widowControl w:val="0"/>
        <w:spacing w:after="0" w:line="360" w:lineRule="auto"/>
        <w:ind w:firstLine="708"/>
        <w:jc w:val="both"/>
        <w:rPr>
          <w:rFonts w:ascii="Verdana" w:hAnsi="Verdana"/>
          <w:sz w:val="20"/>
        </w:rPr>
      </w:pPr>
      <w:r w:rsidRPr="00400BBD">
        <w:rPr>
          <w:b/>
          <w:bCs/>
          <w:sz w:val="18"/>
          <w:szCs w:val="18"/>
        </w:rPr>
        <w:t xml:space="preserve"> </w:t>
      </w:r>
      <w:r w:rsidRPr="0005652F">
        <w:rPr>
          <w:rFonts w:ascii="Verdana" w:hAnsi="Verdana"/>
          <w:color w:val="000000" w:themeColor="text1"/>
          <w:sz w:val="20"/>
          <w:szCs w:val="20"/>
        </w:rPr>
        <w:t xml:space="preserve">Vista la delibera di programma per l’anno 2017, n.10/2017/INPR </w:t>
      </w:r>
      <w:r w:rsidRPr="0005652F">
        <w:rPr>
          <w:rFonts w:ascii="Verdana" w:hAnsi="Verdana"/>
          <w:color w:val="000000" w:themeColor="text1"/>
          <w:sz w:val="20"/>
          <w:szCs w:val="20"/>
        </w:rPr>
        <w:lastRenderedPageBreak/>
        <w:t>assunta dalla Sezione regionale di controllo per l’Emilia Romagna, nell</w:t>
      </w:r>
      <w:r>
        <w:rPr>
          <w:rFonts w:ascii="Verdana" w:hAnsi="Verdana"/>
          <w:color w:val="000000" w:themeColor="text1"/>
          <w:sz w:val="20"/>
          <w:szCs w:val="20"/>
        </w:rPr>
        <w:t xml:space="preserve">e </w:t>
      </w:r>
      <w:r w:rsidRPr="0005652F">
        <w:rPr>
          <w:rFonts w:ascii="Verdana" w:hAnsi="Verdana"/>
          <w:color w:val="000000" w:themeColor="text1"/>
          <w:sz w:val="20"/>
          <w:szCs w:val="20"/>
        </w:rPr>
        <w:t>camer</w:t>
      </w:r>
      <w:r>
        <w:rPr>
          <w:rFonts w:ascii="Verdana" w:hAnsi="Verdana"/>
          <w:color w:val="000000" w:themeColor="text1"/>
          <w:sz w:val="20"/>
          <w:szCs w:val="20"/>
        </w:rPr>
        <w:t>e</w:t>
      </w:r>
      <w:r w:rsidRPr="0005652F">
        <w:rPr>
          <w:rFonts w:ascii="Verdana" w:hAnsi="Verdana"/>
          <w:color w:val="000000" w:themeColor="text1"/>
          <w:sz w:val="20"/>
          <w:szCs w:val="20"/>
        </w:rPr>
        <w:t xml:space="preserve"> di consiglio del </w:t>
      </w:r>
      <w:r w:rsidRPr="00400BBD">
        <w:rPr>
          <w:rFonts w:ascii="Verdana" w:hAnsi="Verdana"/>
          <w:sz w:val="20"/>
          <w:szCs w:val="20"/>
        </w:rPr>
        <w:t>19 dicembre 2016 e del 17 gennaio 2017;</w:t>
      </w:r>
    </w:p>
    <w:p w:rsidR="000133D0" w:rsidRPr="0005652F" w:rsidRDefault="000133D0" w:rsidP="000133D0">
      <w:pPr>
        <w:autoSpaceDE w:val="0"/>
        <w:autoSpaceDN w:val="0"/>
        <w:adjustRightInd w:val="0"/>
        <w:spacing w:line="360" w:lineRule="auto"/>
        <w:ind w:firstLine="709"/>
        <w:jc w:val="both"/>
        <w:rPr>
          <w:rFonts w:ascii="Verdana" w:hAnsi="Verdana"/>
          <w:color w:val="000000" w:themeColor="text1"/>
          <w:sz w:val="20"/>
          <w:szCs w:val="20"/>
        </w:rPr>
      </w:pPr>
      <w:r w:rsidRPr="0005652F">
        <w:rPr>
          <w:rFonts w:ascii="Verdana" w:hAnsi="Verdana"/>
          <w:color w:val="000000" w:themeColor="text1"/>
          <w:sz w:val="20"/>
          <w:szCs w:val="20"/>
        </w:rPr>
        <w:t>Visto l’allegato alla delibera n.10/2017/INPR al punto 4.5 “</w:t>
      </w:r>
      <w:r w:rsidRPr="0005652F">
        <w:rPr>
          <w:rFonts w:ascii="Verdana" w:hAnsi="Verdana" w:cs="Verdana,Bold"/>
          <w:bCs/>
          <w:color w:val="000000" w:themeColor="text1"/>
          <w:sz w:val="20"/>
          <w:szCs w:val="20"/>
        </w:rPr>
        <w:t>Indagine concernente la gestione dei servizi legali e di patrocinio da parte della Regione, degli enti locali e degli altri enti con sede nell’Emilia-Romagna (Aziende sanitarie, Università, Camere di commercio, ecc.), allo scopo di verificare le relative implicazioni contabili e organizzative – Anno 2015”</w:t>
      </w:r>
      <w:r w:rsidR="00F15AD6">
        <w:rPr>
          <w:rFonts w:ascii="Verdana" w:hAnsi="Verdana" w:cs="Verdana,Bold"/>
          <w:bCs/>
          <w:color w:val="000000" w:themeColor="text1"/>
          <w:sz w:val="20"/>
          <w:szCs w:val="20"/>
        </w:rPr>
        <w:t>;</w:t>
      </w:r>
      <w:r w:rsidRPr="0005652F">
        <w:rPr>
          <w:rFonts w:ascii="Verdana" w:hAnsi="Verdana"/>
          <w:color w:val="000000" w:themeColor="text1"/>
          <w:sz w:val="20"/>
          <w:szCs w:val="20"/>
        </w:rPr>
        <w:t xml:space="preserve">  </w:t>
      </w:r>
    </w:p>
    <w:p w:rsidR="000133D0" w:rsidRPr="0005652F" w:rsidRDefault="000133D0" w:rsidP="000133D0">
      <w:pPr>
        <w:widowControl w:val="0"/>
        <w:spacing w:line="360" w:lineRule="auto"/>
        <w:ind w:firstLine="708"/>
        <w:jc w:val="both"/>
        <w:rPr>
          <w:rFonts w:ascii="Verdana" w:hAnsi="Verdana"/>
          <w:color w:val="000000" w:themeColor="text1"/>
          <w:sz w:val="20"/>
          <w:szCs w:val="20"/>
        </w:rPr>
      </w:pPr>
      <w:r w:rsidRPr="0005652F">
        <w:rPr>
          <w:rFonts w:ascii="Verdana" w:hAnsi="Verdana"/>
          <w:color w:val="000000" w:themeColor="text1"/>
          <w:sz w:val="20"/>
          <w:szCs w:val="20"/>
        </w:rPr>
        <w:t>Vista la delibera di programma per l’anno 2016, n.8/2016/INPR assunta dalla Sezione regionale di controllo per l’Emilia Romagna, nella camera di consiglio del 12 gennaio 2016;</w:t>
      </w:r>
    </w:p>
    <w:p w:rsidR="000133D0" w:rsidRPr="0005652F" w:rsidRDefault="000133D0" w:rsidP="000133D0">
      <w:pPr>
        <w:autoSpaceDE w:val="0"/>
        <w:autoSpaceDN w:val="0"/>
        <w:adjustRightInd w:val="0"/>
        <w:spacing w:line="360" w:lineRule="auto"/>
        <w:ind w:firstLine="709"/>
        <w:jc w:val="both"/>
        <w:rPr>
          <w:rFonts w:ascii="Verdana" w:hAnsi="Verdana"/>
          <w:color w:val="000000" w:themeColor="text1"/>
          <w:sz w:val="20"/>
          <w:szCs w:val="20"/>
        </w:rPr>
      </w:pPr>
      <w:r w:rsidRPr="0005652F">
        <w:rPr>
          <w:rFonts w:ascii="Verdana" w:hAnsi="Verdana"/>
          <w:color w:val="000000" w:themeColor="text1"/>
          <w:sz w:val="20"/>
          <w:szCs w:val="20"/>
        </w:rPr>
        <w:t>Visto l’allegato alla delibera n.8/2016/INPR al punto 2.2 “</w:t>
      </w:r>
      <w:r w:rsidRPr="0005652F">
        <w:rPr>
          <w:rFonts w:ascii="Verdana" w:hAnsi="Verdana" w:cs="Verdana,Bold"/>
          <w:bCs/>
          <w:color w:val="000000" w:themeColor="text1"/>
          <w:sz w:val="20"/>
          <w:szCs w:val="20"/>
        </w:rPr>
        <w:t>Indagine concernente la gestione dei servizi legali e di patrocinio da parte della Regione, degli enti locali e degli altri enti con sede nell’Emilia-Romagna (Aziende sanitarie, Università, Camere di commercio, ecc.), allo scopo di verificare le relative implicazioni contabili e organizzative – Anno 2015”</w:t>
      </w:r>
      <w:r w:rsidR="00F15AD6">
        <w:rPr>
          <w:rFonts w:ascii="Verdana" w:hAnsi="Verdana" w:cs="Verdana,Bold"/>
          <w:bCs/>
          <w:color w:val="000000" w:themeColor="text1"/>
          <w:sz w:val="20"/>
          <w:szCs w:val="20"/>
        </w:rPr>
        <w:t>;</w:t>
      </w:r>
      <w:r w:rsidRPr="0005652F">
        <w:rPr>
          <w:rFonts w:ascii="Verdana" w:hAnsi="Verdana"/>
          <w:color w:val="000000" w:themeColor="text1"/>
          <w:sz w:val="20"/>
          <w:szCs w:val="20"/>
        </w:rPr>
        <w:t xml:space="preserve">  </w:t>
      </w:r>
    </w:p>
    <w:p w:rsidR="000133D0" w:rsidRPr="00962911" w:rsidRDefault="000133D0" w:rsidP="000133D0">
      <w:pPr>
        <w:spacing w:line="360" w:lineRule="auto"/>
        <w:ind w:firstLine="709"/>
        <w:jc w:val="both"/>
        <w:rPr>
          <w:rFonts w:ascii="Verdana" w:hAnsi="Verdana"/>
          <w:sz w:val="20"/>
          <w:szCs w:val="20"/>
        </w:rPr>
      </w:pPr>
      <w:r w:rsidRPr="00962911">
        <w:rPr>
          <w:rFonts w:ascii="Verdana" w:hAnsi="Verdana"/>
          <w:sz w:val="20"/>
          <w:szCs w:val="20"/>
        </w:rPr>
        <w:t>V</w:t>
      </w:r>
      <w:r w:rsidR="00574236" w:rsidRPr="00962911">
        <w:rPr>
          <w:rFonts w:ascii="Verdana" w:hAnsi="Verdana"/>
          <w:sz w:val="20"/>
          <w:szCs w:val="20"/>
        </w:rPr>
        <w:t xml:space="preserve">ista </w:t>
      </w:r>
      <w:r w:rsidRPr="00962911">
        <w:rPr>
          <w:rFonts w:ascii="Verdana" w:hAnsi="Verdana"/>
          <w:sz w:val="20"/>
          <w:szCs w:val="20"/>
        </w:rPr>
        <w:t xml:space="preserve">la risposta fornita al questionario sui servizi legali per l’anno 2015, a firma del Sindaco del Comune di </w:t>
      </w:r>
      <w:r w:rsidR="008D60B5" w:rsidRPr="00962911">
        <w:rPr>
          <w:rFonts w:ascii="Verdana" w:hAnsi="Verdana"/>
          <w:sz w:val="20"/>
          <w:szCs w:val="20"/>
        </w:rPr>
        <w:t>Ferrara</w:t>
      </w:r>
      <w:r w:rsidRPr="00962911">
        <w:rPr>
          <w:rFonts w:ascii="Verdana" w:hAnsi="Verdana"/>
          <w:sz w:val="20"/>
          <w:szCs w:val="20"/>
        </w:rPr>
        <w:t xml:space="preserve"> e del Presidente del Collegio dei revisori, trasmessa a questa Sezione, a seguito di richiesta istruttoria, in data </w:t>
      </w:r>
      <w:r w:rsidR="00543A6D" w:rsidRPr="00962911">
        <w:rPr>
          <w:rFonts w:ascii="Verdana" w:hAnsi="Verdana"/>
          <w:sz w:val="20"/>
          <w:szCs w:val="20"/>
        </w:rPr>
        <w:t>5</w:t>
      </w:r>
      <w:r w:rsidRPr="00962911">
        <w:rPr>
          <w:rFonts w:ascii="Verdana" w:hAnsi="Verdana"/>
          <w:sz w:val="20"/>
          <w:szCs w:val="20"/>
        </w:rPr>
        <w:t xml:space="preserve"> maggio 2016;</w:t>
      </w:r>
    </w:p>
    <w:p w:rsidR="000133D0" w:rsidRPr="00962911" w:rsidRDefault="000133D0" w:rsidP="000133D0">
      <w:pPr>
        <w:pStyle w:val="Corpodeltesto"/>
        <w:widowControl w:val="0"/>
        <w:spacing w:after="0" w:line="360" w:lineRule="auto"/>
        <w:ind w:firstLine="709"/>
        <w:jc w:val="both"/>
      </w:pPr>
      <w:r w:rsidRPr="00962911">
        <w:rPr>
          <w:rFonts w:ascii="Verdana" w:hAnsi="Verdana"/>
          <w:sz w:val="20"/>
          <w:szCs w:val="20"/>
        </w:rPr>
        <w:t>V</w:t>
      </w:r>
      <w:r w:rsidR="00574236" w:rsidRPr="00962911">
        <w:rPr>
          <w:rFonts w:ascii="Verdana" w:hAnsi="Verdana"/>
          <w:sz w:val="20"/>
          <w:szCs w:val="20"/>
        </w:rPr>
        <w:t>iste</w:t>
      </w:r>
      <w:r w:rsidRPr="00962911">
        <w:rPr>
          <w:rFonts w:ascii="Verdana" w:hAnsi="Verdana"/>
          <w:sz w:val="20"/>
          <w:szCs w:val="20"/>
        </w:rPr>
        <w:t xml:space="preserve"> le note del </w:t>
      </w:r>
      <w:r w:rsidR="00542AD0" w:rsidRPr="00962911">
        <w:rPr>
          <w:rFonts w:ascii="Verdana" w:hAnsi="Verdana"/>
          <w:sz w:val="20"/>
          <w:szCs w:val="20"/>
        </w:rPr>
        <w:t>3 e del 15</w:t>
      </w:r>
      <w:r w:rsidRPr="00962911">
        <w:rPr>
          <w:rFonts w:ascii="Verdana" w:hAnsi="Verdana"/>
          <w:sz w:val="20"/>
          <w:szCs w:val="20"/>
        </w:rPr>
        <w:t xml:space="preserve"> aprile 2017, a firma</w:t>
      </w:r>
      <w:r w:rsidR="001B456A" w:rsidRPr="00962911">
        <w:rPr>
          <w:rFonts w:ascii="Verdana" w:hAnsi="Verdana"/>
          <w:sz w:val="20"/>
          <w:szCs w:val="20"/>
        </w:rPr>
        <w:t xml:space="preserve"> del Sindaco, inoltrate</w:t>
      </w:r>
      <w:r w:rsidRPr="00962911">
        <w:rPr>
          <w:rFonts w:ascii="Verdana" w:hAnsi="Verdana"/>
          <w:sz w:val="20"/>
          <w:szCs w:val="20"/>
        </w:rPr>
        <w:t xml:space="preserve"> a questa Sezione a seguit</w:t>
      </w:r>
      <w:r w:rsidR="001B456A" w:rsidRPr="00962911">
        <w:rPr>
          <w:rFonts w:ascii="Verdana" w:hAnsi="Verdana"/>
          <w:sz w:val="20"/>
          <w:szCs w:val="20"/>
        </w:rPr>
        <w:t>o di richieste istruttorie</w:t>
      </w:r>
      <w:r w:rsidRPr="00962911">
        <w:rPr>
          <w:rFonts w:ascii="Verdana" w:hAnsi="Verdana"/>
          <w:sz w:val="20"/>
          <w:szCs w:val="20"/>
        </w:rPr>
        <w:t>;</w:t>
      </w:r>
    </w:p>
    <w:p w:rsidR="000133D0" w:rsidRPr="00962911" w:rsidRDefault="000133D0" w:rsidP="00D50454">
      <w:pPr>
        <w:pStyle w:val="Corpodeltesto"/>
        <w:widowControl w:val="0"/>
        <w:spacing w:after="0" w:line="360" w:lineRule="auto"/>
        <w:ind w:firstLine="709"/>
        <w:jc w:val="both"/>
        <w:rPr>
          <w:rFonts w:ascii="Verdana" w:hAnsi="Verdana"/>
          <w:sz w:val="20"/>
          <w:szCs w:val="20"/>
        </w:rPr>
      </w:pPr>
      <w:r w:rsidRPr="00962911">
        <w:rPr>
          <w:rFonts w:ascii="Verdana" w:hAnsi="Verdana"/>
          <w:sz w:val="20"/>
          <w:szCs w:val="20"/>
        </w:rPr>
        <w:t>V</w:t>
      </w:r>
      <w:r w:rsidR="00574236" w:rsidRPr="00962911">
        <w:rPr>
          <w:rFonts w:ascii="Verdana" w:hAnsi="Verdana"/>
          <w:sz w:val="20"/>
          <w:szCs w:val="20"/>
        </w:rPr>
        <w:t>ista</w:t>
      </w:r>
      <w:r w:rsidRPr="00962911">
        <w:rPr>
          <w:rFonts w:ascii="Verdana" w:hAnsi="Verdana"/>
          <w:sz w:val="20"/>
          <w:szCs w:val="20"/>
        </w:rPr>
        <w:t xml:space="preserve"> l’ordinanza del Presidente della Sezione d</w:t>
      </w:r>
      <w:r w:rsidR="006076E1" w:rsidRPr="00962911">
        <w:rPr>
          <w:rFonts w:ascii="Verdana" w:hAnsi="Verdana"/>
          <w:sz w:val="20"/>
          <w:szCs w:val="20"/>
        </w:rPr>
        <w:t xml:space="preserve">i </w:t>
      </w:r>
      <w:r w:rsidR="006076E1" w:rsidRPr="005728D0">
        <w:rPr>
          <w:rFonts w:ascii="Verdana" w:hAnsi="Verdana"/>
          <w:sz w:val="20"/>
          <w:szCs w:val="20"/>
        </w:rPr>
        <w:t xml:space="preserve">controllo n. </w:t>
      </w:r>
      <w:r w:rsidR="005728D0" w:rsidRPr="005728D0">
        <w:rPr>
          <w:rFonts w:ascii="Verdana" w:hAnsi="Verdana"/>
          <w:sz w:val="20"/>
          <w:szCs w:val="20"/>
        </w:rPr>
        <w:t>33</w:t>
      </w:r>
      <w:r w:rsidR="006076E1" w:rsidRPr="005728D0">
        <w:rPr>
          <w:rFonts w:ascii="Verdana" w:hAnsi="Verdana"/>
          <w:sz w:val="20"/>
          <w:szCs w:val="20"/>
        </w:rPr>
        <w:t xml:space="preserve"> del</w:t>
      </w:r>
      <w:r w:rsidR="00A4461E">
        <w:rPr>
          <w:rFonts w:ascii="Verdana" w:hAnsi="Verdana"/>
          <w:sz w:val="20"/>
          <w:szCs w:val="20"/>
        </w:rPr>
        <w:t>l’</w:t>
      </w:r>
      <w:r w:rsidR="005728D0" w:rsidRPr="005728D0">
        <w:rPr>
          <w:rFonts w:ascii="Verdana" w:hAnsi="Verdana"/>
          <w:sz w:val="20"/>
          <w:szCs w:val="20"/>
        </w:rPr>
        <w:t>8 maggio</w:t>
      </w:r>
      <w:r w:rsidRPr="005728D0">
        <w:rPr>
          <w:rFonts w:ascii="Verdana" w:hAnsi="Verdana"/>
          <w:sz w:val="20"/>
          <w:szCs w:val="20"/>
        </w:rPr>
        <w:t xml:space="preserve"> 2017,</w:t>
      </w:r>
      <w:r w:rsidRPr="00962911">
        <w:rPr>
          <w:rFonts w:ascii="Verdana" w:hAnsi="Verdana"/>
          <w:sz w:val="20"/>
          <w:szCs w:val="20"/>
        </w:rPr>
        <w:t xml:space="preserve"> mediante la quale la Sezione è stata convocata nella camera di consiglio del </w:t>
      </w:r>
      <w:r w:rsidR="00543A6D" w:rsidRPr="00962911">
        <w:rPr>
          <w:rFonts w:ascii="Verdana" w:hAnsi="Verdana"/>
          <w:sz w:val="20"/>
          <w:szCs w:val="20"/>
        </w:rPr>
        <w:t xml:space="preserve">9 maggio </w:t>
      </w:r>
      <w:r w:rsidRPr="00962911">
        <w:rPr>
          <w:rFonts w:ascii="Verdana" w:hAnsi="Verdana"/>
          <w:sz w:val="20"/>
          <w:szCs w:val="20"/>
        </w:rPr>
        <w:t>2017;</w:t>
      </w:r>
    </w:p>
    <w:p w:rsidR="000133D0" w:rsidRPr="00962911" w:rsidRDefault="000133D0" w:rsidP="00D50454">
      <w:pPr>
        <w:widowControl w:val="0"/>
        <w:spacing w:line="360" w:lineRule="auto"/>
        <w:ind w:firstLine="709"/>
        <w:jc w:val="both"/>
        <w:rPr>
          <w:rFonts w:ascii="Verdana" w:hAnsi="Verdana"/>
          <w:sz w:val="20"/>
          <w:szCs w:val="20"/>
        </w:rPr>
      </w:pPr>
      <w:r w:rsidRPr="00962911">
        <w:rPr>
          <w:rFonts w:ascii="Verdana" w:hAnsi="Verdana"/>
          <w:sz w:val="20"/>
          <w:szCs w:val="20"/>
        </w:rPr>
        <w:t>U</w:t>
      </w:r>
      <w:r w:rsidR="00840E8C" w:rsidRPr="00962911">
        <w:rPr>
          <w:rFonts w:ascii="Verdana" w:hAnsi="Verdana"/>
          <w:sz w:val="20"/>
          <w:szCs w:val="20"/>
        </w:rPr>
        <w:t>dito</w:t>
      </w:r>
      <w:r w:rsidRPr="00962911">
        <w:rPr>
          <w:rFonts w:ascii="Verdana" w:hAnsi="Verdana"/>
          <w:sz w:val="20"/>
          <w:szCs w:val="20"/>
        </w:rPr>
        <w:t xml:space="preserve"> il relatore;</w:t>
      </w:r>
    </w:p>
    <w:p w:rsidR="000133D0" w:rsidRPr="00F52043" w:rsidRDefault="000133D0" w:rsidP="00052327">
      <w:pPr>
        <w:pStyle w:val="Rientrocorpodeltesto"/>
        <w:spacing w:before="120" w:after="120" w:line="360" w:lineRule="auto"/>
        <w:ind w:left="0"/>
        <w:jc w:val="center"/>
        <w:rPr>
          <w:b/>
          <w:color w:val="auto"/>
        </w:rPr>
      </w:pPr>
      <w:r w:rsidRPr="00F52043">
        <w:rPr>
          <w:b/>
          <w:color w:val="auto"/>
        </w:rPr>
        <w:t>F</w:t>
      </w:r>
      <w:r>
        <w:rPr>
          <w:b/>
          <w:color w:val="auto"/>
        </w:rPr>
        <w:t>ATTO</w:t>
      </w:r>
    </w:p>
    <w:p w:rsidR="000133D0" w:rsidRPr="00F52043" w:rsidRDefault="000133D0" w:rsidP="000133D0">
      <w:pPr>
        <w:widowControl w:val="0"/>
        <w:spacing w:line="360" w:lineRule="auto"/>
        <w:ind w:firstLine="708"/>
        <w:jc w:val="both"/>
        <w:rPr>
          <w:rFonts w:ascii="Verdana" w:hAnsi="Verdana"/>
          <w:sz w:val="20"/>
          <w:szCs w:val="20"/>
        </w:rPr>
      </w:pPr>
      <w:r w:rsidRPr="00F52043">
        <w:rPr>
          <w:rFonts w:ascii="Verdana" w:hAnsi="Verdana"/>
          <w:sz w:val="20"/>
          <w:szCs w:val="20"/>
        </w:rPr>
        <w:t>In data 21 aprile 2016 questa Sezione regionale di controllo, in esecuzione del programma relativo all’attività 2016, che prevedeva l’effettuazione di “un esame delle modalità adottate dagli enti per la gestione dei servizi legali e di patrocinio, i criteri adottati per la contabilizzazione delle spese, la scelta dei professionisti esterni, le modalità di determinazione dei compensi”, ha tras</w:t>
      </w:r>
      <w:r>
        <w:rPr>
          <w:rFonts w:ascii="Verdana" w:hAnsi="Verdana"/>
          <w:sz w:val="20"/>
          <w:szCs w:val="20"/>
        </w:rPr>
        <w:t xml:space="preserve">messo al </w:t>
      </w:r>
      <w:r w:rsidRPr="0041018C">
        <w:rPr>
          <w:rFonts w:ascii="Verdana" w:hAnsi="Verdana"/>
          <w:sz w:val="20"/>
          <w:szCs w:val="20"/>
        </w:rPr>
        <w:t xml:space="preserve">Comune di </w:t>
      </w:r>
      <w:r w:rsidR="00E412DB">
        <w:rPr>
          <w:rFonts w:ascii="Verdana" w:hAnsi="Verdana"/>
          <w:sz w:val="20"/>
          <w:szCs w:val="20"/>
        </w:rPr>
        <w:t>Ferrara</w:t>
      </w:r>
      <w:r>
        <w:rPr>
          <w:rFonts w:ascii="Verdana" w:hAnsi="Verdana"/>
          <w:sz w:val="20"/>
          <w:szCs w:val="20"/>
        </w:rPr>
        <w:t xml:space="preserve"> </w:t>
      </w:r>
      <w:r w:rsidRPr="00F52043">
        <w:rPr>
          <w:rFonts w:ascii="Verdana" w:hAnsi="Verdana"/>
          <w:sz w:val="20"/>
          <w:szCs w:val="20"/>
        </w:rPr>
        <w:t>un questionario, nonché una tabella</w:t>
      </w:r>
      <w:r>
        <w:rPr>
          <w:rFonts w:ascii="Verdana" w:hAnsi="Verdana"/>
          <w:sz w:val="20"/>
          <w:szCs w:val="20"/>
        </w:rPr>
        <w:t xml:space="preserve"> </w:t>
      </w:r>
      <w:r w:rsidRPr="00F52043">
        <w:rPr>
          <w:rFonts w:ascii="Verdana" w:hAnsi="Verdana"/>
          <w:sz w:val="20"/>
          <w:szCs w:val="20"/>
        </w:rPr>
        <w:t>relativa agli incarichi legali affidati all’esterno,</w:t>
      </w:r>
      <w:r>
        <w:rPr>
          <w:rFonts w:ascii="Verdana" w:hAnsi="Verdana"/>
          <w:sz w:val="20"/>
          <w:szCs w:val="20"/>
        </w:rPr>
        <w:t xml:space="preserve"> </w:t>
      </w:r>
      <w:r w:rsidRPr="00F52043">
        <w:rPr>
          <w:rFonts w:ascii="Verdana" w:hAnsi="Verdana"/>
          <w:sz w:val="20"/>
          <w:szCs w:val="20"/>
        </w:rPr>
        <w:t>da compilare a cura dell’ente.</w:t>
      </w:r>
    </w:p>
    <w:p w:rsidR="000133D0" w:rsidRPr="00F52043" w:rsidRDefault="000133D0" w:rsidP="000133D0">
      <w:pPr>
        <w:spacing w:line="360" w:lineRule="auto"/>
        <w:ind w:firstLine="709"/>
        <w:jc w:val="both"/>
        <w:rPr>
          <w:rFonts w:ascii="Verdana" w:hAnsi="Verdana"/>
          <w:sz w:val="20"/>
          <w:szCs w:val="20"/>
        </w:rPr>
      </w:pPr>
      <w:r w:rsidRPr="00F52043">
        <w:rPr>
          <w:rFonts w:ascii="Verdana" w:hAnsi="Verdana"/>
          <w:sz w:val="20"/>
          <w:szCs w:val="20"/>
        </w:rPr>
        <w:t>La Sezione, esaminate le risposte fornite, nonché l’allegato elenco degli incarichi affidati all’esterno, evidenzia quanto segue.</w:t>
      </w:r>
    </w:p>
    <w:p w:rsidR="0098006E" w:rsidRPr="004A0C63" w:rsidRDefault="004377D9" w:rsidP="0098006E">
      <w:pPr>
        <w:spacing w:line="360" w:lineRule="auto"/>
        <w:ind w:firstLine="709"/>
        <w:jc w:val="both"/>
        <w:rPr>
          <w:rFonts w:ascii="Verdana" w:hAnsi="Verdana"/>
          <w:sz w:val="20"/>
          <w:szCs w:val="20"/>
        </w:rPr>
      </w:pPr>
      <w:r w:rsidRPr="004A0C63">
        <w:rPr>
          <w:rFonts w:ascii="Verdana" w:hAnsi="Verdana"/>
          <w:sz w:val="20"/>
          <w:szCs w:val="20"/>
        </w:rPr>
        <w:lastRenderedPageBreak/>
        <w:t>Il Comune</w:t>
      </w:r>
      <w:r w:rsidR="0098006E" w:rsidRPr="004A0C63">
        <w:rPr>
          <w:rFonts w:ascii="Verdana" w:hAnsi="Verdana"/>
          <w:sz w:val="20"/>
          <w:szCs w:val="20"/>
        </w:rPr>
        <w:t xml:space="preserve"> ha istituito l’ufficio legale con la presenza in forza di 3 unità, nonostante “</w:t>
      </w:r>
      <w:r w:rsidR="0098006E" w:rsidRPr="004A0C63">
        <w:rPr>
          <w:rFonts w:ascii="Verdana" w:hAnsi="Verdana"/>
          <w:i/>
          <w:sz w:val="20"/>
          <w:szCs w:val="20"/>
        </w:rPr>
        <w:t>nella pianta organica non sono previsti posti di avvocato bensì esiste una dotazione organica dell’Ente, approvata con atto della Giunta del 21 marzo 2012, via via riconfermata con i piani assunzionali degli anni successivi e dove non vengono precisati i profili professionali</w:t>
      </w:r>
      <w:r w:rsidR="0098006E" w:rsidRPr="004A0C63">
        <w:rPr>
          <w:rFonts w:ascii="Verdana" w:hAnsi="Verdana"/>
          <w:sz w:val="20"/>
          <w:szCs w:val="20"/>
        </w:rPr>
        <w:t>”.</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 xml:space="preserve">Con </w:t>
      </w:r>
      <w:r w:rsidR="004377D9" w:rsidRPr="004A0C63">
        <w:rPr>
          <w:rFonts w:ascii="Verdana" w:hAnsi="Verdana"/>
          <w:sz w:val="20"/>
          <w:szCs w:val="20"/>
        </w:rPr>
        <w:t xml:space="preserve">delibera del Consiglio comunale </w:t>
      </w:r>
      <w:r w:rsidRPr="004A0C63">
        <w:rPr>
          <w:rFonts w:ascii="Verdana" w:hAnsi="Verdana"/>
          <w:sz w:val="20"/>
          <w:szCs w:val="20"/>
        </w:rPr>
        <w:t xml:space="preserve">del 15 dicembre 2014 recante </w:t>
      </w:r>
      <w:r w:rsidRPr="004A0C63">
        <w:rPr>
          <w:rFonts w:ascii="Verdana" w:hAnsi="Verdana"/>
          <w:i/>
          <w:sz w:val="20"/>
          <w:szCs w:val="20"/>
        </w:rPr>
        <w:t>“Approvazione programma incarichi esterni per collaborazione, studio, ricerca e consulenza per il triennio 2015-2017”</w:t>
      </w:r>
      <w:r w:rsidR="004377D9" w:rsidRPr="004A0C63">
        <w:rPr>
          <w:rFonts w:ascii="Verdana" w:hAnsi="Verdana"/>
          <w:sz w:val="20"/>
          <w:szCs w:val="20"/>
        </w:rPr>
        <w:t xml:space="preserve">, </w:t>
      </w:r>
      <w:r w:rsidRPr="004A0C63">
        <w:rPr>
          <w:rFonts w:ascii="Verdana" w:hAnsi="Verdana"/>
          <w:sz w:val="20"/>
          <w:szCs w:val="20"/>
        </w:rPr>
        <w:t>nell’ambito del Servizio Affari Legali e per cia</w:t>
      </w:r>
      <w:r w:rsidR="004377D9" w:rsidRPr="004A0C63">
        <w:rPr>
          <w:rFonts w:ascii="Verdana" w:hAnsi="Verdana"/>
          <w:sz w:val="20"/>
          <w:szCs w:val="20"/>
        </w:rPr>
        <w:t>scuno degli anni di riferimento è stata</w:t>
      </w:r>
      <w:r w:rsidRPr="004A0C63">
        <w:rPr>
          <w:rFonts w:ascii="Verdana" w:hAnsi="Verdana"/>
          <w:sz w:val="20"/>
          <w:szCs w:val="20"/>
        </w:rPr>
        <w:t xml:space="preserve"> previst</w:t>
      </w:r>
      <w:r w:rsidR="004377D9" w:rsidRPr="004A0C63">
        <w:rPr>
          <w:rFonts w:ascii="Verdana" w:hAnsi="Verdana"/>
          <w:sz w:val="20"/>
          <w:szCs w:val="20"/>
        </w:rPr>
        <w:t>a</w:t>
      </w:r>
      <w:r w:rsidRPr="004A0C63">
        <w:rPr>
          <w:rFonts w:ascii="Verdana" w:hAnsi="Verdana"/>
          <w:sz w:val="20"/>
          <w:szCs w:val="20"/>
        </w:rPr>
        <w:t xml:space="preserve"> una spesa per consulenze e pareri pari ad euro 5.000,00.  </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Il Comune ha, altresì, dichiarato che gli incarichi di rappresentanza in giudizio e di patrocinio</w:t>
      </w:r>
      <w:r w:rsidR="004377D9" w:rsidRPr="004A0C63">
        <w:rPr>
          <w:rFonts w:ascii="Verdana" w:hAnsi="Verdana"/>
          <w:sz w:val="20"/>
          <w:szCs w:val="20"/>
        </w:rPr>
        <w:t xml:space="preserve"> </w:t>
      </w:r>
      <w:r w:rsidRPr="004A0C63">
        <w:rPr>
          <w:rFonts w:ascii="Verdana" w:hAnsi="Verdana"/>
          <w:sz w:val="20"/>
          <w:szCs w:val="20"/>
        </w:rPr>
        <w:t xml:space="preserve">non sono stati subordinati ad un documento programmatico. </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Non ha adottato un disciplinare finalizzato a regolare l’affidamento degli incarichi di patrocinio legale; i criteri seguiti</w:t>
      </w:r>
      <w:r w:rsidR="004377D9" w:rsidRPr="004A0C63">
        <w:rPr>
          <w:rFonts w:ascii="Verdana" w:hAnsi="Verdana"/>
          <w:sz w:val="20"/>
          <w:szCs w:val="20"/>
        </w:rPr>
        <w:t xml:space="preserve"> </w:t>
      </w:r>
      <w:r w:rsidRPr="004A0C63">
        <w:rPr>
          <w:rFonts w:ascii="Verdana" w:hAnsi="Verdana"/>
          <w:sz w:val="20"/>
          <w:szCs w:val="20"/>
        </w:rPr>
        <w:t>si fondano su “</w:t>
      </w:r>
      <w:r w:rsidRPr="004A0C63">
        <w:rPr>
          <w:rFonts w:ascii="Verdana" w:hAnsi="Verdana"/>
          <w:i/>
          <w:sz w:val="20"/>
          <w:szCs w:val="20"/>
        </w:rPr>
        <w:t>precedenti incarichi per le stesse controversie o stessa materia, indagine su professionalità ed esperienza maturata, su intuitus personae</w:t>
      </w:r>
      <w:r w:rsidRPr="004A0C63">
        <w:rPr>
          <w:rFonts w:ascii="Verdana" w:hAnsi="Verdana"/>
          <w:sz w:val="20"/>
          <w:szCs w:val="20"/>
        </w:rPr>
        <w:t xml:space="preserve">”. </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L’Ente riferisce di av</w:t>
      </w:r>
      <w:r w:rsidR="004377D9" w:rsidRPr="004A0C63">
        <w:rPr>
          <w:rFonts w:ascii="Verdana" w:hAnsi="Verdana"/>
          <w:sz w:val="20"/>
          <w:szCs w:val="20"/>
        </w:rPr>
        <w:t>ere svolto al proprio interno 32 patrocini e di avere affidato</w:t>
      </w:r>
      <w:r w:rsidRPr="004A0C63">
        <w:rPr>
          <w:rFonts w:ascii="Verdana" w:hAnsi="Verdana"/>
          <w:sz w:val="20"/>
          <w:szCs w:val="20"/>
        </w:rPr>
        <w:t xml:space="preserve"> direttamente in via fiduciaria 9 domiciliazioni (di cui 7 al medesimo legale) per un i</w:t>
      </w:r>
      <w:r w:rsidR="004377D9" w:rsidRPr="004A0C63">
        <w:rPr>
          <w:rFonts w:ascii="Verdana" w:hAnsi="Verdana"/>
          <w:sz w:val="20"/>
          <w:szCs w:val="20"/>
        </w:rPr>
        <w:t xml:space="preserve">mporto complessivo </w:t>
      </w:r>
      <w:r w:rsidRPr="004A0C63">
        <w:rPr>
          <w:rFonts w:ascii="Verdana" w:hAnsi="Verdana"/>
          <w:sz w:val="20"/>
          <w:szCs w:val="20"/>
        </w:rPr>
        <w:t xml:space="preserve">pari ad € 10.910,25 e </w:t>
      </w:r>
      <w:r w:rsidR="00F15AD6">
        <w:rPr>
          <w:rFonts w:ascii="Verdana" w:hAnsi="Verdana"/>
          <w:sz w:val="20"/>
          <w:szCs w:val="20"/>
        </w:rPr>
        <w:t>1</w:t>
      </w:r>
      <w:r w:rsidRPr="004A0C63">
        <w:rPr>
          <w:rFonts w:ascii="Verdana" w:hAnsi="Verdana"/>
          <w:sz w:val="20"/>
          <w:szCs w:val="20"/>
        </w:rPr>
        <w:t xml:space="preserve"> patrocinio legale, nell’ambito di </w:t>
      </w:r>
      <w:r w:rsidR="003968C0">
        <w:rPr>
          <w:rFonts w:ascii="Verdana" w:hAnsi="Verdana"/>
          <w:sz w:val="20"/>
          <w:szCs w:val="20"/>
        </w:rPr>
        <w:t>un procedimento penale ove il Comune</w:t>
      </w:r>
      <w:r w:rsidRPr="004A0C63">
        <w:rPr>
          <w:rFonts w:ascii="Verdana" w:hAnsi="Verdana"/>
          <w:sz w:val="20"/>
          <w:szCs w:val="20"/>
        </w:rPr>
        <w:t xml:space="preserve"> era parte offesa.</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 xml:space="preserve">Sono state anche affidate direttamente in via fiduciaria </w:t>
      </w:r>
      <w:r w:rsidR="00F15AD6">
        <w:rPr>
          <w:rFonts w:ascii="Verdana" w:hAnsi="Verdana"/>
          <w:sz w:val="20"/>
          <w:szCs w:val="20"/>
        </w:rPr>
        <w:t>2</w:t>
      </w:r>
      <w:r w:rsidRPr="004A0C63">
        <w:rPr>
          <w:rFonts w:ascii="Verdana" w:hAnsi="Verdana"/>
          <w:sz w:val="20"/>
          <w:szCs w:val="20"/>
        </w:rPr>
        <w:t xml:space="preserve"> consulenze esterne: la prima sulla base di precedenti incarichi mentre l’altra è fondata sulla conoscenza del professionista e sulla richiesta del curriculum. Non sono stati stipulati appalti di servizi legali. </w:t>
      </w:r>
    </w:p>
    <w:p w:rsidR="0098006E" w:rsidRPr="004A0C63" w:rsidRDefault="004377D9" w:rsidP="0098006E">
      <w:pPr>
        <w:spacing w:line="360" w:lineRule="auto"/>
        <w:ind w:firstLine="709"/>
        <w:jc w:val="both"/>
        <w:rPr>
          <w:rFonts w:ascii="Verdana" w:hAnsi="Verdana"/>
          <w:bCs/>
          <w:sz w:val="20"/>
          <w:szCs w:val="20"/>
        </w:rPr>
      </w:pPr>
      <w:r w:rsidRPr="004A0C63">
        <w:rPr>
          <w:rFonts w:ascii="Verdana" w:hAnsi="Verdana"/>
          <w:bCs/>
          <w:sz w:val="20"/>
          <w:szCs w:val="20"/>
        </w:rPr>
        <w:t>Il Comune</w:t>
      </w:r>
      <w:r w:rsidR="0098006E" w:rsidRPr="004A0C63">
        <w:rPr>
          <w:rFonts w:ascii="Verdana" w:hAnsi="Verdana"/>
          <w:bCs/>
          <w:sz w:val="20"/>
          <w:szCs w:val="20"/>
        </w:rPr>
        <w:t xml:space="preserve"> dichiara di aver pubblicato nel proprio sito web in “Amministrazione trasparente” tutti gli incarichi professionali ex art.</w:t>
      </w:r>
      <w:r w:rsidR="00DF5F98">
        <w:rPr>
          <w:rFonts w:ascii="Verdana" w:hAnsi="Verdana"/>
          <w:bCs/>
          <w:sz w:val="20"/>
          <w:szCs w:val="20"/>
        </w:rPr>
        <w:t>15 del d.lgs. n.33/2013</w:t>
      </w:r>
      <w:r w:rsidR="0098006E" w:rsidRPr="004A0C63">
        <w:rPr>
          <w:rFonts w:ascii="Verdana" w:hAnsi="Verdana"/>
          <w:bCs/>
          <w:sz w:val="20"/>
          <w:szCs w:val="20"/>
        </w:rPr>
        <w:t xml:space="preserve"> e di richiedere sempre un preventivo al legale affidatario.</w:t>
      </w:r>
    </w:p>
    <w:p w:rsidR="00BB0655" w:rsidRPr="004A0C63" w:rsidRDefault="00BB0655" w:rsidP="0098006E">
      <w:pPr>
        <w:spacing w:line="360" w:lineRule="auto"/>
        <w:ind w:firstLine="709"/>
        <w:jc w:val="both"/>
        <w:rPr>
          <w:rFonts w:ascii="Verdana" w:hAnsi="Verdana"/>
          <w:bCs/>
          <w:sz w:val="20"/>
          <w:szCs w:val="20"/>
        </w:rPr>
      </w:pPr>
      <w:r w:rsidRPr="004A0C63">
        <w:rPr>
          <w:rFonts w:ascii="Verdana" w:hAnsi="Verdana"/>
          <w:bCs/>
          <w:sz w:val="20"/>
          <w:szCs w:val="20"/>
        </w:rPr>
        <w:t>A seguito di istruttoria</w:t>
      </w:r>
      <w:r w:rsidR="004A0C63" w:rsidRPr="004A0C63">
        <w:rPr>
          <w:rFonts w:ascii="Verdana" w:hAnsi="Verdana"/>
          <w:bCs/>
          <w:sz w:val="20"/>
          <w:szCs w:val="20"/>
        </w:rPr>
        <w:t xml:space="preserve"> l’Ente ha</w:t>
      </w:r>
      <w:r w:rsidR="003968C0">
        <w:rPr>
          <w:rFonts w:ascii="Verdana" w:hAnsi="Verdana"/>
          <w:bCs/>
          <w:sz w:val="20"/>
          <w:szCs w:val="20"/>
        </w:rPr>
        <w:t xml:space="preserve"> poi</w:t>
      </w:r>
      <w:r w:rsidR="004377D9" w:rsidRPr="004A0C63">
        <w:rPr>
          <w:rFonts w:ascii="Verdana" w:hAnsi="Verdana"/>
          <w:bCs/>
          <w:sz w:val="20"/>
          <w:szCs w:val="20"/>
        </w:rPr>
        <w:t xml:space="preserve"> precisato che</w:t>
      </w:r>
      <w:r w:rsidRPr="004A0C63">
        <w:rPr>
          <w:rFonts w:ascii="Verdana" w:hAnsi="Verdana"/>
          <w:sz w:val="20"/>
          <w:szCs w:val="20"/>
        </w:rPr>
        <w:t xml:space="preserve"> in 2 casi non ha chiesto i preventivi ad un legale affidatario di domiciliazioni</w:t>
      </w:r>
      <w:r w:rsidR="004A0C63" w:rsidRPr="004A0C63">
        <w:rPr>
          <w:rFonts w:ascii="Verdana" w:hAnsi="Verdana"/>
          <w:sz w:val="20"/>
          <w:szCs w:val="20"/>
        </w:rPr>
        <w:t>, peraltro</w:t>
      </w:r>
      <w:r w:rsidRPr="004A0C63">
        <w:rPr>
          <w:rFonts w:ascii="Verdana" w:hAnsi="Verdana"/>
          <w:sz w:val="20"/>
          <w:szCs w:val="20"/>
        </w:rPr>
        <w:t xml:space="preserve"> allineandosi a </w:t>
      </w:r>
      <w:r w:rsidRPr="004A0C63">
        <w:rPr>
          <w:rFonts w:ascii="Verdana" w:hAnsi="Verdana"/>
          <w:i/>
          <w:sz w:val="20"/>
          <w:szCs w:val="20"/>
        </w:rPr>
        <w:t>“precedenti identici”</w:t>
      </w:r>
      <w:r w:rsidRPr="004A0C63">
        <w:rPr>
          <w:rFonts w:ascii="Verdana" w:hAnsi="Verdana"/>
          <w:sz w:val="20"/>
          <w:szCs w:val="20"/>
        </w:rPr>
        <w:t>.</w:t>
      </w:r>
    </w:p>
    <w:p w:rsidR="0098006E" w:rsidRPr="004A0C63" w:rsidRDefault="0098006E" w:rsidP="0098006E">
      <w:pPr>
        <w:spacing w:line="360" w:lineRule="auto"/>
        <w:ind w:firstLine="709"/>
        <w:jc w:val="both"/>
        <w:rPr>
          <w:rFonts w:ascii="Verdana" w:hAnsi="Verdana"/>
          <w:sz w:val="20"/>
          <w:szCs w:val="20"/>
        </w:rPr>
      </w:pPr>
      <w:r w:rsidRPr="004A0C63">
        <w:rPr>
          <w:rFonts w:ascii="Verdana" w:hAnsi="Verdana"/>
          <w:sz w:val="20"/>
          <w:szCs w:val="20"/>
        </w:rPr>
        <w:t xml:space="preserve">Per quanto riguarda gli aspetti contabili </w:t>
      </w:r>
      <w:r w:rsidR="004A0C63" w:rsidRPr="004A0C63">
        <w:rPr>
          <w:rFonts w:ascii="Verdana" w:hAnsi="Verdana"/>
          <w:sz w:val="20"/>
          <w:szCs w:val="20"/>
        </w:rPr>
        <w:t>è stata</w:t>
      </w:r>
      <w:r w:rsidRPr="004A0C63">
        <w:rPr>
          <w:rFonts w:ascii="Verdana" w:hAnsi="Verdana"/>
          <w:sz w:val="20"/>
          <w:szCs w:val="20"/>
        </w:rPr>
        <w:t xml:space="preserve"> effettuat</w:t>
      </w:r>
      <w:r w:rsidR="004A0C63" w:rsidRPr="004A0C63">
        <w:rPr>
          <w:rFonts w:ascii="Verdana" w:hAnsi="Verdana"/>
          <w:sz w:val="20"/>
          <w:szCs w:val="20"/>
        </w:rPr>
        <w:t>a</w:t>
      </w:r>
      <w:r w:rsidRPr="004A0C63">
        <w:rPr>
          <w:rFonts w:ascii="Verdana" w:hAnsi="Verdana"/>
          <w:sz w:val="20"/>
          <w:szCs w:val="20"/>
        </w:rPr>
        <w:t xml:space="preserve"> una stima del contenzioso</w:t>
      </w:r>
      <w:r w:rsidR="004A0C63" w:rsidRPr="004A0C63">
        <w:rPr>
          <w:rFonts w:ascii="Verdana" w:hAnsi="Verdana"/>
          <w:sz w:val="20"/>
          <w:szCs w:val="20"/>
        </w:rPr>
        <w:t>,</w:t>
      </w:r>
      <w:r w:rsidRPr="004A0C63">
        <w:rPr>
          <w:rFonts w:ascii="Verdana" w:hAnsi="Verdana"/>
          <w:sz w:val="20"/>
          <w:szCs w:val="20"/>
        </w:rPr>
        <w:t xml:space="preserve"> stanziando la posta di accantonamento in bilancio alla voce </w:t>
      </w:r>
      <w:r w:rsidRPr="004A0C63">
        <w:rPr>
          <w:rFonts w:ascii="Verdana" w:hAnsi="Verdana"/>
          <w:i/>
          <w:sz w:val="20"/>
          <w:szCs w:val="20"/>
        </w:rPr>
        <w:t>“Missi</w:t>
      </w:r>
      <w:r w:rsidR="003968C0">
        <w:rPr>
          <w:rFonts w:ascii="Verdana" w:hAnsi="Verdana"/>
          <w:i/>
          <w:sz w:val="20"/>
          <w:szCs w:val="20"/>
        </w:rPr>
        <w:t>one 20 - Fondi e Accantonamenti</w:t>
      </w:r>
      <w:r w:rsidRPr="004A0C63">
        <w:rPr>
          <w:rFonts w:ascii="Verdana" w:hAnsi="Verdana"/>
          <w:i/>
          <w:sz w:val="20"/>
          <w:szCs w:val="20"/>
        </w:rPr>
        <w:t>, cap. 5442”</w:t>
      </w:r>
      <w:r w:rsidRPr="004A0C63">
        <w:rPr>
          <w:rFonts w:ascii="Verdana" w:hAnsi="Verdana"/>
          <w:sz w:val="20"/>
          <w:szCs w:val="20"/>
        </w:rPr>
        <w:t>.</w:t>
      </w:r>
    </w:p>
    <w:p w:rsidR="0098006E" w:rsidRPr="004A0C63" w:rsidRDefault="0098006E" w:rsidP="0098006E">
      <w:pPr>
        <w:spacing w:line="360" w:lineRule="auto"/>
        <w:jc w:val="both"/>
        <w:rPr>
          <w:rFonts w:ascii="Verdana" w:hAnsi="Verdana"/>
          <w:sz w:val="20"/>
          <w:szCs w:val="20"/>
        </w:rPr>
      </w:pPr>
      <w:r w:rsidRPr="004A0C63">
        <w:rPr>
          <w:rFonts w:ascii="Verdana" w:hAnsi="Verdana"/>
          <w:sz w:val="20"/>
          <w:szCs w:val="20"/>
        </w:rPr>
        <w:t>Nel corso del 2015 l’Ente ha fatto ricorso a 4 transazioni: - per</w:t>
      </w:r>
      <w:r w:rsidR="003968C0">
        <w:rPr>
          <w:rFonts w:ascii="Verdana" w:hAnsi="Verdana"/>
          <w:sz w:val="20"/>
          <w:szCs w:val="20"/>
        </w:rPr>
        <w:t xml:space="preserve"> un</w:t>
      </w:r>
      <w:r w:rsidRPr="004A0C63">
        <w:rPr>
          <w:rFonts w:ascii="Verdana" w:hAnsi="Verdana"/>
          <w:sz w:val="20"/>
          <w:szCs w:val="20"/>
        </w:rPr>
        <w:t xml:space="preserve"> sinistro stradale,</w:t>
      </w:r>
      <w:r w:rsidR="003968C0">
        <w:rPr>
          <w:rFonts w:ascii="Verdana" w:hAnsi="Verdana"/>
          <w:sz w:val="20"/>
          <w:szCs w:val="20"/>
        </w:rPr>
        <w:t xml:space="preserve"> per cui</w:t>
      </w:r>
      <w:r w:rsidRPr="004A0C63">
        <w:rPr>
          <w:rFonts w:ascii="Verdana" w:hAnsi="Verdana"/>
          <w:sz w:val="20"/>
          <w:szCs w:val="20"/>
        </w:rPr>
        <w:t xml:space="preserve"> ha incassato </w:t>
      </w:r>
      <w:r w:rsidR="00DF5F98" w:rsidRPr="004A0C63">
        <w:rPr>
          <w:rFonts w:ascii="Verdana" w:hAnsi="Verdana"/>
          <w:sz w:val="20"/>
          <w:szCs w:val="20"/>
        </w:rPr>
        <w:t>€</w:t>
      </w:r>
      <w:r w:rsidRPr="004A0C63">
        <w:rPr>
          <w:rFonts w:ascii="Verdana" w:hAnsi="Verdana"/>
          <w:sz w:val="20"/>
          <w:szCs w:val="20"/>
        </w:rPr>
        <w:t xml:space="preserve"> 3.815,13 e rinunciato a</w:t>
      </w:r>
      <w:r w:rsidR="003968C0">
        <w:rPr>
          <w:rFonts w:ascii="Verdana" w:hAnsi="Verdana"/>
          <w:sz w:val="20"/>
          <w:szCs w:val="20"/>
        </w:rPr>
        <w:t>d</w:t>
      </w:r>
      <w:r w:rsidRPr="004A0C63">
        <w:rPr>
          <w:rFonts w:ascii="Verdana" w:hAnsi="Verdana"/>
          <w:sz w:val="20"/>
          <w:szCs w:val="20"/>
        </w:rPr>
        <w:t xml:space="preserve"> </w:t>
      </w:r>
      <w:r w:rsidR="00DF5F98" w:rsidRPr="004A0C63">
        <w:rPr>
          <w:rFonts w:ascii="Verdana" w:hAnsi="Verdana"/>
          <w:sz w:val="20"/>
          <w:szCs w:val="20"/>
        </w:rPr>
        <w:t>€</w:t>
      </w:r>
      <w:r w:rsidRPr="004A0C63">
        <w:rPr>
          <w:rFonts w:ascii="Verdana" w:hAnsi="Verdana"/>
          <w:sz w:val="20"/>
          <w:szCs w:val="20"/>
        </w:rPr>
        <w:t xml:space="preserve"> 823,90; - per contributi scolastici,</w:t>
      </w:r>
      <w:r w:rsidR="003968C0">
        <w:rPr>
          <w:rFonts w:ascii="Verdana" w:hAnsi="Verdana"/>
          <w:sz w:val="20"/>
          <w:szCs w:val="20"/>
        </w:rPr>
        <w:t xml:space="preserve"> per cui</w:t>
      </w:r>
      <w:r w:rsidRPr="004A0C63">
        <w:rPr>
          <w:rFonts w:ascii="Verdana" w:hAnsi="Verdana"/>
          <w:sz w:val="20"/>
          <w:szCs w:val="20"/>
        </w:rPr>
        <w:t xml:space="preserve"> ha incassato </w:t>
      </w:r>
      <w:r w:rsidR="00DF5F98" w:rsidRPr="004A0C63">
        <w:rPr>
          <w:rFonts w:ascii="Verdana" w:hAnsi="Verdana"/>
          <w:sz w:val="20"/>
          <w:szCs w:val="20"/>
        </w:rPr>
        <w:t>€</w:t>
      </w:r>
      <w:r w:rsidRPr="004A0C63">
        <w:rPr>
          <w:rFonts w:ascii="Verdana" w:hAnsi="Verdana"/>
          <w:sz w:val="20"/>
          <w:szCs w:val="20"/>
        </w:rPr>
        <w:t xml:space="preserve"> 6.000</w:t>
      </w:r>
      <w:r w:rsidR="003968C0">
        <w:rPr>
          <w:rFonts w:ascii="Verdana" w:hAnsi="Verdana"/>
          <w:sz w:val="20"/>
          <w:szCs w:val="20"/>
        </w:rPr>
        <w:t>,00</w:t>
      </w:r>
      <w:r w:rsidRPr="004A0C63">
        <w:rPr>
          <w:rFonts w:ascii="Verdana" w:hAnsi="Verdana"/>
          <w:sz w:val="20"/>
          <w:szCs w:val="20"/>
        </w:rPr>
        <w:t xml:space="preserve"> e rinunciato</w:t>
      </w:r>
      <w:r w:rsidR="003968C0">
        <w:rPr>
          <w:rFonts w:ascii="Verdana" w:hAnsi="Verdana"/>
          <w:sz w:val="20"/>
          <w:szCs w:val="20"/>
        </w:rPr>
        <w:t xml:space="preserve"> </w:t>
      </w:r>
      <w:r w:rsidRPr="004A0C63">
        <w:rPr>
          <w:rFonts w:ascii="Verdana" w:hAnsi="Verdana"/>
          <w:sz w:val="20"/>
          <w:szCs w:val="20"/>
        </w:rPr>
        <w:t>a</w:t>
      </w:r>
      <w:r w:rsidR="003968C0">
        <w:rPr>
          <w:rFonts w:ascii="Verdana" w:hAnsi="Verdana"/>
          <w:sz w:val="20"/>
          <w:szCs w:val="20"/>
        </w:rPr>
        <w:t>d</w:t>
      </w:r>
      <w:r w:rsidRPr="004A0C63">
        <w:rPr>
          <w:rFonts w:ascii="Verdana" w:hAnsi="Verdana"/>
          <w:sz w:val="20"/>
          <w:szCs w:val="20"/>
        </w:rPr>
        <w:t xml:space="preserve"> </w:t>
      </w:r>
      <w:r w:rsidR="00DF5F98" w:rsidRPr="004A0C63">
        <w:rPr>
          <w:rFonts w:ascii="Verdana" w:hAnsi="Verdana"/>
          <w:sz w:val="20"/>
          <w:szCs w:val="20"/>
        </w:rPr>
        <w:t>€</w:t>
      </w:r>
      <w:r w:rsidRPr="004A0C63">
        <w:rPr>
          <w:rFonts w:ascii="Verdana" w:hAnsi="Verdana"/>
          <w:sz w:val="20"/>
          <w:szCs w:val="20"/>
        </w:rPr>
        <w:t xml:space="preserve"> 1.266</w:t>
      </w:r>
      <w:r w:rsidR="003968C0">
        <w:rPr>
          <w:rFonts w:ascii="Verdana" w:hAnsi="Verdana"/>
          <w:sz w:val="20"/>
          <w:szCs w:val="20"/>
        </w:rPr>
        <w:t>,00</w:t>
      </w:r>
      <w:r w:rsidRPr="004A0C63">
        <w:rPr>
          <w:rFonts w:ascii="Verdana" w:hAnsi="Verdana"/>
          <w:sz w:val="20"/>
          <w:szCs w:val="20"/>
        </w:rPr>
        <w:t xml:space="preserve">; </w:t>
      </w:r>
      <w:r w:rsidRPr="004A0C63">
        <w:rPr>
          <w:rFonts w:ascii="Verdana" w:hAnsi="Verdana"/>
          <w:sz w:val="20"/>
          <w:szCs w:val="20"/>
        </w:rPr>
        <w:lastRenderedPageBreak/>
        <w:t>- per danni da allagamenti per precipitazioni atmosferiche e problemi fognature,</w:t>
      </w:r>
      <w:r w:rsidR="003968C0">
        <w:rPr>
          <w:rFonts w:ascii="Verdana" w:hAnsi="Verdana"/>
          <w:sz w:val="20"/>
          <w:szCs w:val="20"/>
        </w:rPr>
        <w:t xml:space="preserve"> laddove</w:t>
      </w:r>
      <w:r w:rsidRPr="004A0C63">
        <w:rPr>
          <w:rFonts w:ascii="Verdana" w:hAnsi="Verdana"/>
          <w:sz w:val="20"/>
          <w:szCs w:val="20"/>
        </w:rPr>
        <w:t xml:space="preserve"> l'importo richiesto in causa  è stato di </w:t>
      </w:r>
      <w:r w:rsidR="00DF5F98" w:rsidRPr="004A0C63">
        <w:rPr>
          <w:rFonts w:ascii="Verdana" w:hAnsi="Verdana"/>
          <w:sz w:val="20"/>
          <w:szCs w:val="20"/>
        </w:rPr>
        <w:t>€</w:t>
      </w:r>
      <w:r w:rsidRPr="004A0C63">
        <w:rPr>
          <w:rFonts w:ascii="Verdana" w:hAnsi="Verdana"/>
          <w:sz w:val="20"/>
          <w:szCs w:val="20"/>
        </w:rPr>
        <w:t xml:space="preserve"> 2.000</w:t>
      </w:r>
      <w:r w:rsidR="003968C0">
        <w:rPr>
          <w:rFonts w:ascii="Verdana" w:hAnsi="Verdana"/>
          <w:sz w:val="20"/>
          <w:szCs w:val="20"/>
        </w:rPr>
        <w:t>,00</w:t>
      </w:r>
      <w:r w:rsidRPr="004A0C63">
        <w:rPr>
          <w:rFonts w:ascii="Verdana" w:hAnsi="Verdana"/>
          <w:sz w:val="20"/>
          <w:szCs w:val="20"/>
        </w:rPr>
        <w:t xml:space="preserve"> più spese legali e la transazione si è conclusa con il pagamento da parte del Comune di </w:t>
      </w:r>
      <w:r w:rsidR="00DF5F98" w:rsidRPr="004A0C63">
        <w:rPr>
          <w:rFonts w:ascii="Verdana" w:hAnsi="Verdana"/>
          <w:sz w:val="20"/>
          <w:szCs w:val="20"/>
        </w:rPr>
        <w:t>€</w:t>
      </w:r>
      <w:r w:rsidRPr="004A0C63">
        <w:rPr>
          <w:rFonts w:ascii="Verdana" w:hAnsi="Verdana"/>
          <w:sz w:val="20"/>
          <w:szCs w:val="20"/>
        </w:rPr>
        <w:t xml:space="preserve"> 1.000</w:t>
      </w:r>
      <w:r w:rsidR="003968C0">
        <w:rPr>
          <w:rFonts w:ascii="Verdana" w:hAnsi="Verdana"/>
          <w:sz w:val="20"/>
          <w:szCs w:val="20"/>
        </w:rPr>
        <w:t>,00</w:t>
      </w:r>
      <w:r w:rsidRPr="004A0C63">
        <w:rPr>
          <w:rFonts w:ascii="Verdana" w:hAnsi="Verdana"/>
          <w:sz w:val="20"/>
          <w:szCs w:val="20"/>
        </w:rPr>
        <w:t xml:space="preserve"> comprese</w:t>
      </w:r>
      <w:r w:rsidR="004A0C63" w:rsidRPr="004A0C63">
        <w:rPr>
          <w:rFonts w:ascii="Verdana" w:hAnsi="Verdana"/>
          <w:sz w:val="20"/>
          <w:szCs w:val="20"/>
        </w:rPr>
        <w:t xml:space="preserve"> le</w:t>
      </w:r>
      <w:r w:rsidRPr="004A0C63">
        <w:rPr>
          <w:rFonts w:ascii="Verdana" w:hAnsi="Verdana"/>
          <w:sz w:val="20"/>
          <w:szCs w:val="20"/>
        </w:rPr>
        <w:t xml:space="preserve"> spe</w:t>
      </w:r>
      <w:r w:rsidR="004A0C63" w:rsidRPr="004A0C63">
        <w:rPr>
          <w:rFonts w:ascii="Verdana" w:hAnsi="Verdana"/>
          <w:sz w:val="20"/>
          <w:szCs w:val="20"/>
        </w:rPr>
        <w:t>se; -</w:t>
      </w:r>
      <w:r w:rsidR="00F15AD6">
        <w:rPr>
          <w:rFonts w:ascii="Verdana" w:hAnsi="Verdana"/>
          <w:sz w:val="20"/>
          <w:szCs w:val="20"/>
        </w:rPr>
        <w:t xml:space="preserve"> </w:t>
      </w:r>
      <w:r w:rsidR="004A0C63" w:rsidRPr="004A0C63">
        <w:rPr>
          <w:rFonts w:ascii="Verdana" w:hAnsi="Verdana"/>
          <w:sz w:val="20"/>
          <w:szCs w:val="20"/>
        </w:rPr>
        <w:t xml:space="preserve">per una controversia afferente un </w:t>
      </w:r>
      <w:r w:rsidRPr="004A0C63">
        <w:rPr>
          <w:rFonts w:ascii="Verdana" w:hAnsi="Verdana"/>
          <w:sz w:val="20"/>
          <w:szCs w:val="20"/>
        </w:rPr>
        <w:t>contratto d’appalto risalente al 1991</w:t>
      </w:r>
      <w:r w:rsidR="004A0C63" w:rsidRPr="004A0C63">
        <w:rPr>
          <w:rFonts w:ascii="Verdana" w:hAnsi="Verdana"/>
          <w:sz w:val="20"/>
          <w:szCs w:val="20"/>
        </w:rPr>
        <w:t>,</w:t>
      </w:r>
      <w:r w:rsidRPr="004A0C63">
        <w:rPr>
          <w:rFonts w:ascii="Verdana" w:hAnsi="Verdana"/>
          <w:sz w:val="20"/>
          <w:szCs w:val="20"/>
        </w:rPr>
        <w:t xml:space="preserve"> a saldo di ogni reciproca pretesa è stato concordato il pagamento da parte dell’appaltatore di </w:t>
      </w:r>
      <w:r w:rsidR="00DF5F98" w:rsidRPr="004A0C63">
        <w:rPr>
          <w:rFonts w:ascii="Verdana" w:hAnsi="Verdana"/>
          <w:sz w:val="20"/>
          <w:szCs w:val="20"/>
        </w:rPr>
        <w:t>€</w:t>
      </w:r>
      <w:r w:rsidRPr="004A0C63">
        <w:rPr>
          <w:rFonts w:ascii="Verdana" w:hAnsi="Verdana"/>
          <w:sz w:val="20"/>
          <w:szCs w:val="20"/>
        </w:rPr>
        <w:t xml:space="preserve"> 21.932</w:t>
      </w:r>
      <w:r w:rsidR="003968C0">
        <w:rPr>
          <w:rFonts w:ascii="Verdana" w:hAnsi="Verdana"/>
          <w:sz w:val="20"/>
          <w:szCs w:val="20"/>
        </w:rPr>
        <w:t>,00</w:t>
      </w:r>
      <w:r w:rsidRPr="004A0C63">
        <w:rPr>
          <w:rFonts w:ascii="Verdana" w:hAnsi="Verdana"/>
          <w:sz w:val="20"/>
          <w:szCs w:val="20"/>
        </w:rPr>
        <w:t>.</w:t>
      </w:r>
    </w:p>
    <w:p w:rsidR="0098006E" w:rsidRPr="004A0C63" w:rsidRDefault="00F15AD6" w:rsidP="0098006E">
      <w:pPr>
        <w:spacing w:line="360" w:lineRule="auto"/>
        <w:ind w:firstLine="709"/>
        <w:jc w:val="both"/>
        <w:rPr>
          <w:sz w:val="20"/>
          <w:szCs w:val="20"/>
        </w:rPr>
      </w:pPr>
      <w:r>
        <w:rPr>
          <w:rFonts w:ascii="Verdana" w:hAnsi="Verdana"/>
          <w:sz w:val="20"/>
          <w:szCs w:val="20"/>
        </w:rPr>
        <w:t>I</w:t>
      </w:r>
      <w:r w:rsidR="004A0C63" w:rsidRPr="004A0C63">
        <w:rPr>
          <w:rFonts w:ascii="Verdana" w:hAnsi="Verdana"/>
          <w:sz w:val="20"/>
          <w:szCs w:val="20"/>
        </w:rPr>
        <w:t xml:space="preserve">l Comune di Ferrara non </w:t>
      </w:r>
      <w:r>
        <w:rPr>
          <w:rFonts w:ascii="Verdana" w:hAnsi="Verdana"/>
          <w:sz w:val="20"/>
          <w:szCs w:val="20"/>
        </w:rPr>
        <w:t>ha</w:t>
      </w:r>
      <w:r w:rsidR="0098006E" w:rsidRPr="004A0C63">
        <w:rPr>
          <w:rFonts w:ascii="Verdana" w:hAnsi="Verdana"/>
          <w:sz w:val="20"/>
          <w:szCs w:val="20"/>
        </w:rPr>
        <w:t xml:space="preserve"> rimborsato spese legali ai propri amministrat</w:t>
      </w:r>
      <w:r w:rsidR="004A0C63" w:rsidRPr="004A0C63">
        <w:rPr>
          <w:rFonts w:ascii="Verdana" w:hAnsi="Verdana"/>
          <w:sz w:val="20"/>
          <w:szCs w:val="20"/>
        </w:rPr>
        <w:t xml:space="preserve">ori e/o dipendenti e neppure </w:t>
      </w:r>
      <w:r w:rsidR="0098006E" w:rsidRPr="004A0C63">
        <w:rPr>
          <w:rFonts w:ascii="Verdana" w:hAnsi="Verdana"/>
          <w:sz w:val="20"/>
          <w:szCs w:val="20"/>
        </w:rPr>
        <w:t>riconosciuto debiti fuori bilancio per incarichi legali.</w:t>
      </w:r>
    </w:p>
    <w:p w:rsidR="000133D0" w:rsidRPr="00F52043" w:rsidRDefault="000133D0" w:rsidP="00052327">
      <w:pPr>
        <w:pStyle w:val="NormaleWeb"/>
        <w:spacing w:before="120" w:beforeAutospacing="0" w:after="120" w:afterAutospacing="0" w:line="360" w:lineRule="auto"/>
        <w:jc w:val="center"/>
        <w:rPr>
          <w:rFonts w:ascii="Verdana" w:hAnsi="Verdana"/>
          <w:b/>
          <w:sz w:val="20"/>
        </w:rPr>
      </w:pPr>
      <w:r w:rsidRPr="00F52043">
        <w:rPr>
          <w:rFonts w:ascii="Verdana" w:hAnsi="Verdana"/>
          <w:b/>
          <w:sz w:val="20"/>
        </w:rPr>
        <w:t>D</w:t>
      </w:r>
      <w:r>
        <w:rPr>
          <w:rFonts w:ascii="Verdana" w:hAnsi="Verdana"/>
          <w:b/>
          <w:sz w:val="20"/>
        </w:rPr>
        <w:t>IRITTO</w:t>
      </w:r>
    </w:p>
    <w:p w:rsidR="00D81786" w:rsidRPr="00F52043" w:rsidRDefault="00D81786" w:rsidP="00D81786">
      <w:pPr>
        <w:widowControl w:val="0"/>
        <w:spacing w:line="360" w:lineRule="auto"/>
        <w:ind w:firstLine="709"/>
        <w:jc w:val="both"/>
        <w:rPr>
          <w:rFonts w:ascii="Verdana" w:eastAsia="Arial Unicode MS" w:hAnsi="Verdana" w:cs="Arial Unicode MS"/>
          <w:sz w:val="20"/>
        </w:rPr>
      </w:pPr>
      <w:r w:rsidRPr="00F52043">
        <w:rPr>
          <w:rFonts w:ascii="Verdana" w:eastAsia="Arial Unicode MS" w:hAnsi="Verdana" w:cs="Arial Unicode MS"/>
          <w:sz w:val="20"/>
        </w:rPr>
        <w:t xml:space="preserve">A partire dalla deliberazione n. 19/2009/PAR, della Sezione regionale di controllo per la Basilicata, la giurisprudenza di questa Corte si era progressivamente consolidata nel considerare il </w:t>
      </w:r>
      <w:r w:rsidRPr="00F52043">
        <w:rPr>
          <w:rFonts w:ascii="Verdana" w:eastAsia="Arial Unicode MS" w:hAnsi="Verdana" w:cs="Arial Unicode MS"/>
          <w:b/>
          <w:sz w:val="20"/>
        </w:rPr>
        <w:t>singolo incarico di patrocinio legale</w:t>
      </w:r>
      <w:r w:rsidRPr="00F52043">
        <w:rPr>
          <w:rFonts w:ascii="Verdana" w:eastAsia="Arial Unicode MS" w:hAnsi="Verdana" w:cs="Arial Unicode MS"/>
          <w:sz w:val="20"/>
        </w:rPr>
        <w:t xml:space="preserve"> come non integrante un appalto di se</w:t>
      </w:r>
      <w:r>
        <w:rPr>
          <w:rFonts w:ascii="Verdana" w:eastAsia="Arial Unicode MS" w:hAnsi="Verdana" w:cs="Arial Unicode MS"/>
          <w:sz w:val="20"/>
        </w:rPr>
        <w:t>r</w:t>
      </w:r>
      <w:r w:rsidRPr="00F52043">
        <w:rPr>
          <w:rFonts w:ascii="Verdana" w:eastAsia="Arial Unicode MS" w:hAnsi="Verdana" w:cs="Arial Unicode MS"/>
          <w:sz w:val="20"/>
        </w:rPr>
        <w:t xml:space="preserve">vizi, bensì un contratto d’opera intellettuale, regolato dall’art. 2230 del codice civile. In ogni caso, la magistratura contabile </w:t>
      </w:r>
      <w:r>
        <w:rPr>
          <w:rFonts w:ascii="Verdana" w:eastAsia="Arial Unicode MS" w:hAnsi="Verdana" w:cs="Arial Unicode MS"/>
          <w:sz w:val="20"/>
        </w:rPr>
        <w:t xml:space="preserve">già </w:t>
      </w:r>
      <w:r w:rsidRPr="00F52043">
        <w:rPr>
          <w:rFonts w:ascii="Verdana" w:eastAsia="Arial Unicode MS" w:hAnsi="Verdana" w:cs="Arial Unicode MS"/>
          <w:sz w:val="20"/>
        </w:rPr>
        <w:t>riteneva che detta tipologia d’incarico, pur non riconducibile direttamente a</w:t>
      </w:r>
      <w:r>
        <w:rPr>
          <w:rFonts w:ascii="Verdana" w:eastAsia="Arial Unicode MS" w:hAnsi="Verdana" w:cs="Arial Unicode MS"/>
          <w:sz w:val="20"/>
        </w:rPr>
        <w:t xml:space="preserve">gli incarichi professionali </w:t>
      </w:r>
      <w:r w:rsidRPr="00F52043">
        <w:rPr>
          <w:rFonts w:ascii="Verdana" w:eastAsia="Arial Unicode MS" w:hAnsi="Verdana" w:cs="Arial Unicode MS"/>
          <w:sz w:val="20"/>
        </w:rPr>
        <w:t>esterni disciplinati dall’art. 7, comma 6 e seguenti</w:t>
      </w:r>
      <w:r w:rsidR="00C868BB">
        <w:rPr>
          <w:rFonts w:ascii="Verdana" w:eastAsia="Arial Unicode MS" w:hAnsi="Verdana" w:cs="Arial Unicode MS"/>
          <w:sz w:val="20"/>
        </w:rPr>
        <w:t xml:space="preserve"> del d.lgs. n.165/2001</w:t>
      </w:r>
      <w:r w:rsidRPr="00F52043">
        <w:rPr>
          <w:rFonts w:ascii="Verdana" w:eastAsia="Arial Unicode MS" w:hAnsi="Verdana" w:cs="Arial Unicode MS"/>
          <w:sz w:val="20"/>
        </w:rPr>
        <w:t>, poiché conferito per adempimenti obbligatori per legge</w:t>
      </w:r>
      <w:r w:rsidR="00DF5926">
        <w:rPr>
          <w:rFonts w:ascii="Verdana" w:eastAsia="Arial Unicode MS" w:hAnsi="Verdana" w:cs="Arial Unicode MS"/>
          <w:sz w:val="20"/>
        </w:rPr>
        <w:t xml:space="preserve"> </w:t>
      </w:r>
      <w:r w:rsidRPr="00F52043">
        <w:rPr>
          <w:rFonts w:ascii="Verdana" w:eastAsia="Arial Unicode MS" w:hAnsi="Verdana" w:cs="Arial Unicode MS"/>
          <w:sz w:val="20"/>
        </w:rPr>
        <w:t>(mancando, pertanto, in tali ipotesi, qualsiasi facoltà discrezionale dell’amministrazione), non potesse comunque essere oggetto di affidamento diretto, dovendo essere attribuito a seguito di procedura comparativa, aperta a tutti i possibili interessati. Ciò, allo scopo di consentire il rispet</w:t>
      </w:r>
      <w:r>
        <w:rPr>
          <w:rFonts w:ascii="Verdana" w:eastAsia="Arial Unicode MS" w:hAnsi="Verdana" w:cs="Arial Unicode MS"/>
          <w:sz w:val="20"/>
        </w:rPr>
        <w:t>to dei principi di imparzialità e trasparenza</w:t>
      </w:r>
      <w:r w:rsidRPr="00F52043">
        <w:rPr>
          <w:rFonts w:ascii="Verdana" w:eastAsia="Arial Unicode MS" w:hAnsi="Verdana" w:cs="Arial Unicode MS"/>
          <w:sz w:val="20"/>
        </w:rPr>
        <w:t xml:space="preserve"> (in tal senso, da ultimo, questa Sezione, in sede di giudizio di parificazione del rendiconto generale della Regione Emilia-Romagna per l’esercizio finanziario 2015, approvato con deliberazione n. 66/2016/PARI, </w:t>
      </w:r>
      <w:r w:rsidRPr="00880E34">
        <w:rPr>
          <w:rFonts w:ascii="Verdana" w:eastAsia="Arial Unicode MS" w:hAnsi="Verdana" w:cs="Arial Unicode MS"/>
          <w:sz w:val="20"/>
        </w:rPr>
        <w:t>del 15 luglio 2016</w:t>
      </w:r>
      <w:r w:rsidRPr="00F52043">
        <w:rPr>
          <w:rFonts w:ascii="Verdana" w:eastAsia="Arial Unicode MS" w:hAnsi="Verdana" w:cs="Arial Unicode MS"/>
          <w:sz w:val="20"/>
        </w:rPr>
        <w:t>).</w:t>
      </w:r>
    </w:p>
    <w:p w:rsidR="00D81786" w:rsidRPr="005E4040" w:rsidRDefault="00D81786" w:rsidP="00D81786">
      <w:pPr>
        <w:widowControl w:val="0"/>
        <w:spacing w:line="360" w:lineRule="auto"/>
        <w:jc w:val="both"/>
        <w:rPr>
          <w:rFonts w:ascii="Verdana" w:eastAsia="Arial Unicode MS" w:hAnsi="Verdana" w:cs="Arial Unicode MS"/>
          <w:sz w:val="20"/>
        </w:rPr>
      </w:pPr>
      <w:r w:rsidRPr="00F52043">
        <w:rPr>
          <w:rFonts w:ascii="Verdana" w:eastAsia="Arial Unicode MS" w:hAnsi="Verdana" w:cs="Arial Unicode MS"/>
          <w:sz w:val="20"/>
        </w:rPr>
        <w:t xml:space="preserve">          La ricostruzione della disciplina applicabile agli incarichi aventi a oggetto un singolo patrocinio legale dev’essere, tuttavia, rivista</w:t>
      </w:r>
      <w:r>
        <w:rPr>
          <w:rFonts w:ascii="Verdana" w:eastAsia="Arial Unicode MS" w:hAnsi="Verdana" w:cs="Arial Unicode MS"/>
          <w:sz w:val="20"/>
        </w:rPr>
        <w:t xml:space="preserve">, </w:t>
      </w:r>
      <w:r w:rsidRPr="00F52043">
        <w:rPr>
          <w:rFonts w:ascii="Verdana" w:eastAsia="Arial Unicode MS" w:hAnsi="Verdana" w:cs="Arial Unicode MS"/>
          <w:sz w:val="20"/>
        </w:rPr>
        <w:t xml:space="preserve">alla luce dell’entrata in vigore, il </w:t>
      </w:r>
      <w:r w:rsidRPr="00114942">
        <w:rPr>
          <w:rFonts w:ascii="Verdana" w:eastAsia="Arial Unicode MS" w:hAnsi="Verdana" w:cs="Arial Unicode MS"/>
          <w:sz w:val="20"/>
        </w:rPr>
        <w:t xml:space="preserve">19 aprile 2016, </w:t>
      </w:r>
      <w:r w:rsidRPr="00400BBD">
        <w:rPr>
          <w:rFonts w:ascii="Verdana" w:eastAsia="Arial Unicode MS" w:hAnsi="Verdana" w:cs="Arial Unicode MS"/>
          <w:sz w:val="20"/>
        </w:rPr>
        <w:t>del d.lgs. 18 aprile 2016, n.50</w:t>
      </w:r>
      <w:r w:rsidRPr="00F52043">
        <w:rPr>
          <w:rFonts w:ascii="Verdana" w:eastAsia="Arial Unicode MS" w:hAnsi="Verdana" w:cs="Arial Unicode MS"/>
          <w:sz w:val="20"/>
        </w:rPr>
        <w:t xml:space="preserve">. A decorrere da tale data anche il singolo incarico di patrocinio legale </w:t>
      </w:r>
      <w:r w:rsidRPr="00880E34">
        <w:rPr>
          <w:rFonts w:ascii="Verdana" w:eastAsia="Arial Unicode MS" w:hAnsi="Verdana" w:cs="Arial Unicode MS"/>
          <w:sz w:val="20"/>
        </w:rPr>
        <w:t>appare</w:t>
      </w:r>
      <w:r w:rsidRPr="00F52043">
        <w:rPr>
          <w:rFonts w:ascii="Verdana" w:eastAsia="Arial Unicode MS" w:hAnsi="Verdana" w:cs="Arial Unicode MS"/>
          <w:sz w:val="20"/>
        </w:rPr>
        <w:t xml:space="preserve"> dover essere inquadrato come appalto di servizi; ciò, sulla base del disposto di cui all’art. 17 (recante “Esclusioni specifiche per contratti di appalto e concessione di servizi”), che considera come contratto escluso la rappresentanza legale di un cliente</w:t>
      </w:r>
      <w:r>
        <w:rPr>
          <w:rFonts w:ascii="Verdana" w:eastAsia="Arial Unicode MS" w:hAnsi="Verdana" w:cs="Arial Unicode MS"/>
          <w:sz w:val="20"/>
        </w:rPr>
        <w:t>,</w:t>
      </w:r>
      <w:r w:rsidRPr="00F52043">
        <w:rPr>
          <w:rFonts w:ascii="Verdana" w:eastAsia="Arial Unicode MS" w:hAnsi="Verdana" w:cs="Arial Unicode MS"/>
          <w:sz w:val="20"/>
        </w:rPr>
        <w:t xml:space="preserve"> da parte di un avvocato</w:t>
      </w:r>
      <w:r>
        <w:rPr>
          <w:rFonts w:ascii="Verdana" w:eastAsia="Arial Unicode MS" w:hAnsi="Verdana" w:cs="Arial Unicode MS"/>
          <w:sz w:val="20"/>
        </w:rPr>
        <w:t>,</w:t>
      </w:r>
      <w:r w:rsidRPr="00F52043">
        <w:rPr>
          <w:rFonts w:ascii="Verdana" w:eastAsia="Arial Unicode MS" w:hAnsi="Verdana" w:cs="Arial Unicode MS"/>
          <w:sz w:val="20"/>
        </w:rPr>
        <w:t xml:space="preserve"> in un procedimento giudiziario dinanzi a organi giurisdizionali</w:t>
      </w:r>
      <w:r w:rsidRPr="00DF5926">
        <w:rPr>
          <w:rFonts w:ascii="Verdana" w:eastAsia="Arial Unicode MS" w:hAnsi="Verdana" w:cs="Arial Unicode MS"/>
          <w:sz w:val="20"/>
        </w:rPr>
        <w:t xml:space="preserve">, nonché la consulenza legale fornita in preparazione di detto procedimento. Tale interpretazione pare preferibile anche tenuto conto di come </w:t>
      </w:r>
      <w:r w:rsidRPr="00DF5926">
        <w:rPr>
          <w:rFonts w:ascii="Verdana" w:eastAsia="Arial Unicode MS" w:hAnsi="Verdana" w:cs="Arial Unicode MS"/>
          <w:sz w:val="20"/>
        </w:rPr>
        <w:lastRenderedPageBreak/>
        <w:t>l’art. 17 richiamato recepisca direttive dell’Unione europea che, com’è noto, accoglie</w:t>
      </w:r>
      <w:r w:rsidRPr="00DF5926">
        <w:rPr>
          <w:rFonts w:ascii="Verdana" w:eastAsia="Arial Unicode MS" w:hAnsi="Verdana" w:cs="Arial Unicode MS"/>
          <w:color w:val="FF0000"/>
          <w:sz w:val="20"/>
        </w:rPr>
        <w:t xml:space="preserve"> </w:t>
      </w:r>
      <w:r w:rsidRPr="00DF5926">
        <w:rPr>
          <w:rFonts w:ascii="Verdana" w:eastAsia="Arial Unicode MS" w:hAnsi="Verdana" w:cs="Arial Unicode MS"/>
          <w:sz w:val="20"/>
        </w:rPr>
        <w:t>una nozione di appalto più ampia di quella rinvenibile dal</w:t>
      </w:r>
      <w:r w:rsidRPr="00DF5926">
        <w:rPr>
          <w:rFonts w:ascii="Verdana" w:eastAsia="Arial Unicode MS" w:hAnsi="Verdana" w:cs="Arial Unicode MS"/>
          <w:color w:val="FF0000"/>
          <w:sz w:val="20"/>
        </w:rPr>
        <w:t xml:space="preserve"> </w:t>
      </w:r>
      <w:r w:rsidRPr="00DF5926">
        <w:rPr>
          <w:rFonts w:ascii="Verdana" w:eastAsia="Arial Unicode MS" w:hAnsi="Verdana" w:cs="Arial Unicode MS"/>
          <w:sz w:val="20"/>
        </w:rPr>
        <w:t>nostro codice civile. In</w:t>
      </w:r>
      <w:r w:rsidRPr="00F52043">
        <w:rPr>
          <w:rFonts w:ascii="Verdana" w:eastAsia="Arial Unicode MS" w:hAnsi="Verdana" w:cs="Arial Unicode MS"/>
          <w:sz w:val="20"/>
        </w:rPr>
        <w:t xml:space="preserve"> ogni caso, nel rispetto di quanto previsto dall’art. 4 del citato decreto legislativo, l’affidamento dello stesso deve avvenire nel rispetto dei principi di economicità, efficacia, trasparenza, imparzialità, parità di trattamento, </w:t>
      </w:r>
      <w:r w:rsidRPr="005E4040">
        <w:rPr>
          <w:rFonts w:ascii="Verdana" w:eastAsia="Arial Unicode MS" w:hAnsi="Verdana" w:cs="Arial Unicode MS"/>
          <w:sz w:val="20"/>
        </w:rPr>
        <w:t>proporzionalità e pubblicità</w:t>
      </w:r>
      <w:r w:rsidRPr="005E4040">
        <w:rPr>
          <w:rStyle w:val="Rimandonotaapidipagina"/>
          <w:rFonts w:ascii="Verdana" w:eastAsia="Arial Unicode MS" w:hAnsi="Verdana" w:cs="Arial Unicode MS"/>
          <w:sz w:val="20"/>
        </w:rPr>
        <w:footnoteReference w:id="2"/>
      </w:r>
      <w:r w:rsidRPr="005E4040">
        <w:rPr>
          <w:rFonts w:ascii="Verdana" w:eastAsia="Arial Unicode MS" w:hAnsi="Verdana" w:cs="Arial Unicode MS"/>
          <w:sz w:val="20"/>
        </w:rPr>
        <w:t>.</w:t>
      </w:r>
    </w:p>
    <w:p w:rsidR="00D81786" w:rsidRPr="00F52043" w:rsidRDefault="00D81786" w:rsidP="00D81786">
      <w:pPr>
        <w:widowControl w:val="0"/>
        <w:spacing w:line="360" w:lineRule="auto"/>
        <w:jc w:val="both"/>
        <w:rPr>
          <w:rFonts w:ascii="Verdana" w:hAnsi="Verdana"/>
          <w:sz w:val="20"/>
          <w:szCs w:val="20"/>
        </w:rPr>
      </w:pPr>
      <w:r w:rsidRPr="005E4040">
        <w:rPr>
          <w:rFonts w:ascii="Verdana" w:eastAsia="Arial Unicode MS" w:hAnsi="Verdana" w:cs="Arial Unicode MS"/>
          <w:sz w:val="20"/>
        </w:rPr>
        <w:t xml:space="preserve">          L’applicazione anche al singolo patrocinio della disciplina dei principi summenzionati, conferma l’orientamento consolidato di questa Corte in merito all’impossibilità di considerare la scelta dell’avvocato esterno all’ente come connotata da carattere fiduciario.</w:t>
      </w:r>
      <w:r w:rsidRPr="00F52043">
        <w:rPr>
          <w:rFonts w:ascii="Verdana" w:eastAsia="Arial Unicode MS" w:hAnsi="Verdana" w:cs="Arial Unicode MS"/>
          <w:sz w:val="20"/>
        </w:rPr>
        <w:t xml:space="preserve"> </w:t>
      </w:r>
    </w:p>
    <w:p w:rsidR="00D81786" w:rsidRPr="00F52043" w:rsidRDefault="00D81786" w:rsidP="00D81786">
      <w:pPr>
        <w:widowControl w:val="0"/>
        <w:spacing w:line="360" w:lineRule="auto"/>
        <w:jc w:val="both"/>
        <w:rPr>
          <w:rFonts w:ascii="Verdana" w:eastAsia="Arial Unicode MS" w:hAnsi="Verdana" w:cs="Arial Unicode MS"/>
          <w:sz w:val="20"/>
        </w:rPr>
      </w:pPr>
      <w:r w:rsidRPr="00F52043">
        <w:rPr>
          <w:rFonts w:ascii="Verdana" w:hAnsi="Verdana"/>
          <w:sz w:val="20"/>
          <w:szCs w:val="20"/>
        </w:rPr>
        <w:t xml:space="preserve">          Anche dopo l’emanazione del nuovo codice dei contratti pubblici, l’ente deve preliminarmente operare una ricognizione interna finalizzata ad accertare l’impossibilità, da parte del personale, a svolgere l’incarico (così, da ultima, questa Sezione con la citata deliberazione n. 66/2016).</w:t>
      </w:r>
    </w:p>
    <w:p w:rsidR="00D81786" w:rsidRPr="00114942" w:rsidRDefault="00D81786" w:rsidP="00D81786">
      <w:pPr>
        <w:widowControl w:val="0"/>
        <w:spacing w:line="360" w:lineRule="auto"/>
        <w:jc w:val="both"/>
        <w:rPr>
          <w:rFonts w:ascii="Verdana" w:hAnsi="Verdana"/>
          <w:color w:val="FF0000"/>
          <w:sz w:val="20"/>
          <w:szCs w:val="20"/>
        </w:rPr>
      </w:pPr>
      <w:r>
        <w:rPr>
          <w:rFonts w:ascii="Verdana" w:hAnsi="Verdana"/>
          <w:sz w:val="20"/>
          <w:szCs w:val="20"/>
        </w:rPr>
        <w:t xml:space="preserve">          </w:t>
      </w:r>
      <w:r w:rsidRPr="00F52043">
        <w:rPr>
          <w:rFonts w:ascii="Verdana" w:hAnsi="Verdana"/>
          <w:sz w:val="20"/>
          <w:szCs w:val="20"/>
        </w:rPr>
        <w:t>Con la recente sent. n. 334 del 6 febbraio 2017, il TAR Sicilia – Palermo, Sez. III, nel giudicare l'affidamento di un appalto di servizi legali alla luce del nuovo codice dei contratti pubblici, ha rimarcato come per esso debba essere assicurata la massima partecipazione mediante una procedura di tipo comparativo idonea a permettere a tutti g</w:t>
      </w:r>
      <w:r>
        <w:rPr>
          <w:rFonts w:ascii="Verdana" w:hAnsi="Verdana"/>
          <w:sz w:val="20"/>
          <w:szCs w:val="20"/>
        </w:rPr>
        <w:t>li aventi diritto di partecipare</w:t>
      </w:r>
      <w:r w:rsidRPr="00F52043">
        <w:rPr>
          <w:rFonts w:ascii="Verdana" w:hAnsi="Verdana"/>
          <w:sz w:val="20"/>
          <w:szCs w:val="20"/>
        </w:rPr>
        <w:t xml:space="preserve">, in condizioni di parità e uguaglianza, alla selezione per la scelta del </w:t>
      </w:r>
      <w:r>
        <w:rPr>
          <w:rFonts w:ascii="Verdana" w:hAnsi="Verdana"/>
          <w:sz w:val="20"/>
          <w:szCs w:val="20"/>
        </w:rPr>
        <w:t xml:space="preserve">contraente. </w:t>
      </w:r>
      <w:r w:rsidRPr="00F52043">
        <w:rPr>
          <w:rFonts w:ascii="Verdana" w:hAnsi="Verdana"/>
          <w:sz w:val="20"/>
          <w:szCs w:val="20"/>
        </w:rPr>
        <w:t>Tali indicazioni sono pienamente condivisibili, consentendo, inoltre, di assicurare il migliore utilizzo delle risorse pubbliche</w:t>
      </w:r>
      <w:r>
        <w:rPr>
          <w:rFonts w:ascii="Verdana" w:hAnsi="Verdana"/>
          <w:sz w:val="20"/>
          <w:szCs w:val="20"/>
        </w:rPr>
        <w:t>.</w:t>
      </w:r>
      <w:r w:rsidRPr="00F52043">
        <w:rPr>
          <w:rFonts w:ascii="Verdana" w:hAnsi="Verdana"/>
          <w:sz w:val="20"/>
          <w:szCs w:val="20"/>
        </w:rPr>
        <w:t xml:space="preserve"> </w:t>
      </w:r>
    </w:p>
    <w:p w:rsidR="00D81786" w:rsidRDefault="00D81786" w:rsidP="00D81786">
      <w:pPr>
        <w:widowControl w:val="0"/>
        <w:spacing w:line="360" w:lineRule="auto"/>
        <w:jc w:val="both"/>
        <w:rPr>
          <w:rFonts w:ascii="Verdana" w:hAnsi="Verdana"/>
          <w:sz w:val="20"/>
          <w:szCs w:val="20"/>
        </w:rPr>
      </w:pPr>
      <w:r>
        <w:rPr>
          <w:rFonts w:ascii="Verdana" w:hAnsi="Verdana"/>
          <w:sz w:val="20"/>
          <w:szCs w:val="20"/>
        </w:rPr>
        <w:t xml:space="preserve">          </w:t>
      </w:r>
      <w:r w:rsidRPr="00F52043">
        <w:rPr>
          <w:rFonts w:ascii="Verdana" w:hAnsi="Verdana"/>
          <w:sz w:val="20"/>
          <w:szCs w:val="20"/>
        </w:rPr>
        <w:t>Sulle richiamate novità normative l'</w:t>
      </w:r>
      <w:r>
        <w:rPr>
          <w:rFonts w:ascii="Verdana" w:hAnsi="Verdana"/>
          <w:sz w:val="20"/>
          <w:szCs w:val="20"/>
        </w:rPr>
        <w:t xml:space="preserve">Anac, con delibera n. 1158/2016 </w:t>
      </w:r>
      <w:r w:rsidRPr="00F52043">
        <w:rPr>
          <w:rFonts w:ascii="Verdana" w:hAnsi="Verdana"/>
          <w:sz w:val="20"/>
          <w:szCs w:val="20"/>
        </w:rPr>
        <w:t xml:space="preserve">ha evidenziato, operando una specificazione condivisa da questa Sezione, che nell'affidamento di un patrocinio legale le amministrazioni possono attuare i principi di cui all’art. 4 del codice dei contratti pubblici applicando sistemi di qualificazione, ovvero la redazione di un </w:t>
      </w:r>
      <w:r w:rsidRPr="00F52043">
        <w:rPr>
          <w:rFonts w:ascii="Verdana" w:hAnsi="Verdana"/>
          <w:b/>
          <w:sz w:val="20"/>
          <w:szCs w:val="20"/>
        </w:rPr>
        <w:t>elenco di operatori qualificati</w:t>
      </w:r>
      <w:r w:rsidRPr="00F52043">
        <w:rPr>
          <w:rFonts w:ascii="Verdana" w:hAnsi="Verdana"/>
          <w:sz w:val="20"/>
          <w:szCs w:val="20"/>
        </w:rPr>
        <w:t xml:space="preserve">, mediante una procedura trasparente e aperta, oggetto di adeguata </w:t>
      </w:r>
      <w:r w:rsidRPr="00DF5926">
        <w:rPr>
          <w:rFonts w:ascii="Verdana" w:hAnsi="Verdana"/>
          <w:sz w:val="20"/>
          <w:szCs w:val="20"/>
        </w:rPr>
        <w:t>pubblicità, dal quale selezionare, su una base non discriminatoria, gli operatori che saranno invitati a presentare offerte.</w:t>
      </w:r>
      <w:r w:rsidRPr="00F52043">
        <w:rPr>
          <w:rFonts w:ascii="Verdana" w:hAnsi="Verdana"/>
          <w:sz w:val="20"/>
          <w:szCs w:val="20"/>
        </w:rPr>
        <w:t xml:space="preserve"> </w:t>
      </w:r>
    </w:p>
    <w:p w:rsidR="00D81786" w:rsidRPr="00F52043" w:rsidRDefault="00D81786" w:rsidP="00D81786">
      <w:pPr>
        <w:widowControl w:val="0"/>
        <w:spacing w:line="360" w:lineRule="auto"/>
        <w:ind w:firstLine="709"/>
        <w:jc w:val="both"/>
        <w:rPr>
          <w:rFonts w:ascii="Verdana" w:hAnsi="Verdana"/>
          <w:sz w:val="20"/>
          <w:szCs w:val="20"/>
        </w:rPr>
      </w:pPr>
      <w:r w:rsidRPr="008C426A">
        <w:rPr>
          <w:rFonts w:ascii="Verdana" w:hAnsi="Verdana"/>
          <w:sz w:val="20"/>
          <w:szCs w:val="20"/>
        </w:rPr>
        <w:t xml:space="preserve">Quanto sopra deve avvenire sulla base di un principio di rotazione, </w:t>
      </w:r>
      <w:r>
        <w:rPr>
          <w:rFonts w:ascii="Verdana" w:hAnsi="Verdana"/>
          <w:color w:val="000000" w:themeColor="text1"/>
          <w:sz w:val="20"/>
          <w:szCs w:val="20"/>
        </w:rPr>
        <w:t>applicato tenendo conto, nella individuazione della “rosa” dei soggetti selezionati, dell'importanza della causa e del compenso prevedibile</w:t>
      </w:r>
      <w:r w:rsidRPr="008C426A">
        <w:rPr>
          <w:rFonts w:ascii="Verdana" w:hAnsi="Verdana"/>
          <w:sz w:val="20"/>
          <w:szCs w:val="20"/>
        </w:rPr>
        <w:t xml:space="preserve">. È altresì utile precisare che detti elenchi di operatori qualificati possono essere articolati </w:t>
      </w:r>
      <w:r w:rsidRPr="008C426A">
        <w:rPr>
          <w:rFonts w:ascii="Verdana" w:hAnsi="Verdana"/>
          <w:sz w:val="20"/>
          <w:szCs w:val="20"/>
        </w:rPr>
        <w:lastRenderedPageBreak/>
        <w:t>i</w:t>
      </w:r>
      <w:r>
        <w:rPr>
          <w:rFonts w:ascii="Verdana" w:hAnsi="Verdana"/>
          <w:sz w:val="20"/>
          <w:szCs w:val="20"/>
        </w:rPr>
        <w:t xml:space="preserve">n diversi settori di competenza </w:t>
      </w:r>
      <w:r w:rsidRPr="008C426A">
        <w:rPr>
          <w:rFonts w:ascii="Verdana" w:hAnsi="Verdana"/>
          <w:sz w:val="20"/>
          <w:szCs w:val="20"/>
        </w:rPr>
        <w:t>e ch</w:t>
      </w:r>
      <w:r>
        <w:rPr>
          <w:rFonts w:ascii="Verdana" w:hAnsi="Verdana"/>
          <w:sz w:val="20"/>
          <w:szCs w:val="20"/>
        </w:rPr>
        <w:t>e non sarebbe comunque legittimo</w:t>
      </w:r>
      <w:r w:rsidRPr="008C426A">
        <w:rPr>
          <w:rFonts w:ascii="Verdana" w:hAnsi="Verdana"/>
          <w:sz w:val="20"/>
          <w:szCs w:val="20"/>
        </w:rPr>
        <w:t xml:space="preserve"> prevedere un numero massimo di iscritti.</w:t>
      </w:r>
    </w:p>
    <w:p w:rsidR="00D81786" w:rsidRPr="00F52043" w:rsidRDefault="00D81786" w:rsidP="00D81786">
      <w:pPr>
        <w:widowControl w:val="0"/>
        <w:spacing w:line="360" w:lineRule="auto"/>
        <w:jc w:val="both"/>
        <w:rPr>
          <w:rFonts w:ascii="Verdana" w:hAnsi="Verdana"/>
          <w:sz w:val="20"/>
          <w:szCs w:val="20"/>
        </w:rPr>
      </w:pPr>
      <w:r w:rsidRPr="00F52043">
        <w:rPr>
          <w:rFonts w:ascii="Verdana" w:hAnsi="Verdana"/>
          <w:sz w:val="20"/>
          <w:szCs w:val="20"/>
        </w:rPr>
        <w:t xml:space="preserve">             Qualora vi siano </w:t>
      </w:r>
      <w:r w:rsidRPr="00F52043">
        <w:rPr>
          <w:rFonts w:ascii="Verdana" w:hAnsi="Verdana"/>
          <w:b/>
          <w:sz w:val="20"/>
          <w:szCs w:val="20"/>
        </w:rPr>
        <w:t>motivate ragioni di urgenza,</w:t>
      </w:r>
      <w:r w:rsidRPr="00F52043">
        <w:rPr>
          <w:rFonts w:ascii="Verdana" w:hAnsi="Verdana"/>
          <w:sz w:val="20"/>
          <w:szCs w:val="20"/>
        </w:rPr>
        <w:t xml:space="preserve"> dettagliatamente motivate e non derivanti da un'inerzia dell'Ente co</w:t>
      </w:r>
      <w:r>
        <w:rPr>
          <w:rFonts w:ascii="Verdana" w:hAnsi="Verdana"/>
          <w:sz w:val="20"/>
          <w:szCs w:val="20"/>
        </w:rPr>
        <w:t>n</w:t>
      </w:r>
      <w:r w:rsidRPr="00F52043">
        <w:rPr>
          <w:rFonts w:ascii="Verdana" w:hAnsi="Verdana"/>
          <w:sz w:val="20"/>
          <w:szCs w:val="20"/>
        </w:rPr>
        <w:t xml:space="preserve">ferente, tali da non consentire l’espletamento di una procedura comparativa, </w:t>
      </w:r>
      <w:r>
        <w:rPr>
          <w:rFonts w:ascii="Verdana" w:hAnsi="Verdana"/>
          <w:sz w:val="20"/>
          <w:szCs w:val="20"/>
        </w:rPr>
        <w:t>le amministrazioni posso</w:t>
      </w:r>
      <w:r w:rsidRPr="00F52043">
        <w:rPr>
          <w:rFonts w:ascii="Verdana" w:hAnsi="Verdana"/>
          <w:sz w:val="20"/>
          <w:szCs w:val="20"/>
        </w:rPr>
        <w:t>no prevedere che si proceda all'affid</w:t>
      </w:r>
      <w:r>
        <w:rPr>
          <w:rFonts w:ascii="Verdana" w:hAnsi="Verdana"/>
          <w:sz w:val="20"/>
          <w:szCs w:val="20"/>
        </w:rPr>
        <w:t>amento diretto degli incarichi,</w:t>
      </w:r>
      <w:r w:rsidRPr="00F52043">
        <w:rPr>
          <w:rFonts w:ascii="Verdana" w:hAnsi="Verdana"/>
          <w:sz w:val="20"/>
          <w:szCs w:val="20"/>
        </w:rPr>
        <w:t xml:space="preserve"> sulla base di un criterio di rotazione (ove siano stati istituiti elenchi di operatori qualificati, l’affidatario dev’essere individuato tra gli avvocati iscritti in detti elenchi).</w:t>
      </w:r>
    </w:p>
    <w:p w:rsidR="00D81786" w:rsidRPr="00F52043" w:rsidRDefault="00D81786" w:rsidP="00D81786">
      <w:pPr>
        <w:widowControl w:val="0"/>
        <w:spacing w:line="360" w:lineRule="auto"/>
        <w:jc w:val="both"/>
        <w:rPr>
          <w:rFonts w:ascii="Verdana" w:hAnsi="Verdana"/>
          <w:color w:val="000000" w:themeColor="text1"/>
          <w:sz w:val="20"/>
          <w:szCs w:val="20"/>
        </w:rPr>
      </w:pPr>
      <w:r>
        <w:rPr>
          <w:rFonts w:ascii="Verdana" w:hAnsi="Verdana"/>
          <w:color w:val="000000" w:themeColor="text1"/>
          <w:sz w:val="20"/>
          <w:szCs w:val="20"/>
        </w:rPr>
        <w:t xml:space="preserve">          </w:t>
      </w:r>
      <w:r w:rsidRPr="00F52043">
        <w:rPr>
          <w:rFonts w:ascii="Verdana" w:hAnsi="Verdana"/>
          <w:color w:val="000000" w:themeColor="text1"/>
          <w:sz w:val="20"/>
          <w:szCs w:val="20"/>
        </w:rPr>
        <w:t xml:space="preserve">Si precisa, altresì, che già prima che entrasse in vigore il nuovo codice dei contratti pubblici si riteneva, nell’ambito dei rapporti di collaborazione che possono intercorrere tra enti pubblici e legali ad essi esterni, che oltre all’affidamento di un singolo incarico di patrocinio legale, fosse possibile l’affidamento di un </w:t>
      </w:r>
      <w:r w:rsidRPr="00F52043">
        <w:rPr>
          <w:rFonts w:ascii="Verdana" w:hAnsi="Verdana"/>
          <w:b/>
          <w:color w:val="000000" w:themeColor="text1"/>
          <w:sz w:val="20"/>
          <w:szCs w:val="20"/>
        </w:rPr>
        <w:t>appalto di servizi</w:t>
      </w:r>
      <w:r w:rsidRPr="00F52043">
        <w:rPr>
          <w:rFonts w:ascii="Verdana" w:hAnsi="Verdana"/>
          <w:color w:val="000000" w:themeColor="text1"/>
          <w:sz w:val="20"/>
          <w:szCs w:val="20"/>
        </w:rPr>
        <w:t xml:space="preserve">, che tuttavia richiedeva “un </w:t>
      </w:r>
      <w:r w:rsidRPr="00F52043">
        <w:rPr>
          <w:rFonts w:ascii="Verdana" w:hAnsi="Verdana"/>
          <w:i/>
          <w:color w:val="000000" w:themeColor="text1"/>
          <w:sz w:val="20"/>
          <w:szCs w:val="20"/>
        </w:rPr>
        <w:t>quid pluris</w:t>
      </w:r>
      <w:r w:rsidRPr="00F52043">
        <w:rPr>
          <w:rFonts w:ascii="Verdana" w:hAnsi="Verdana"/>
          <w:color w:val="000000" w:themeColor="text1"/>
          <w:sz w:val="20"/>
          <w:szCs w:val="20"/>
        </w:rPr>
        <w:t xml:space="preserve"> per prestazione o modalità organizzativa rispetto al semplice patrocinio legale” (C. conti, Sez. controllo Basilicata, n. 19/2009). In tal senso anche la prevalente giurisprudenza amministrativa</w:t>
      </w:r>
      <w:r>
        <w:rPr>
          <w:rFonts w:ascii="Verdana" w:hAnsi="Verdana"/>
          <w:color w:val="000000" w:themeColor="text1"/>
          <w:sz w:val="20"/>
          <w:szCs w:val="20"/>
        </w:rPr>
        <w:t>,</w:t>
      </w:r>
      <w:r w:rsidRPr="00F52043">
        <w:rPr>
          <w:rFonts w:ascii="Verdana" w:hAnsi="Verdana"/>
          <w:color w:val="000000" w:themeColor="text1"/>
          <w:sz w:val="20"/>
          <w:szCs w:val="20"/>
        </w:rPr>
        <w:t xml:space="preserve"> per la quale era configurabile un appalto di servizi legali quando “l’affidamento non si esaurisca nel patrocinio legale o episodico dell’amministrazione, ma si configuri come modalità organizzativa di un servizio, affidato a professionisti esterni, più complesso e articolato, che può anche comprendere la difesa giudiziale ma in essa non si esaurisca” (</w:t>
      </w:r>
      <w:r w:rsidRPr="00F52043">
        <w:rPr>
          <w:rFonts w:ascii="Verdana" w:hAnsi="Verdana"/>
          <w:i/>
          <w:color w:val="000000" w:themeColor="text1"/>
          <w:sz w:val="20"/>
          <w:szCs w:val="20"/>
        </w:rPr>
        <w:t>ex multis</w:t>
      </w:r>
      <w:r w:rsidRPr="00F52043">
        <w:rPr>
          <w:rFonts w:ascii="Verdana" w:hAnsi="Verdana"/>
          <w:color w:val="000000" w:themeColor="text1"/>
          <w:sz w:val="20"/>
          <w:szCs w:val="20"/>
        </w:rPr>
        <w:t>, TAR Campania – Salerno, Sez. II, sent. n. 1197/2016).  Come già evidenziato, la distinzione tra affidamento di un singolo patrocinio legale e di un appalto di servizi sembra essere stata superata dal disposto di cui all’art. 17, del nuovo codice dei contratti pubblici.</w:t>
      </w:r>
    </w:p>
    <w:p w:rsidR="00D81786" w:rsidRPr="00F52043" w:rsidRDefault="00D81786" w:rsidP="00D81786">
      <w:pPr>
        <w:widowControl w:val="0"/>
        <w:spacing w:line="360" w:lineRule="auto"/>
        <w:jc w:val="both"/>
        <w:rPr>
          <w:rFonts w:ascii="Verdana" w:hAnsi="Verdana"/>
          <w:color w:val="000000" w:themeColor="text1"/>
          <w:sz w:val="20"/>
          <w:szCs w:val="20"/>
        </w:rPr>
      </w:pPr>
      <w:r>
        <w:rPr>
          <w:rFonts w:ascii="Verdana" w:hAnsi="Verdana"/>
          <w:color w:val="000000" w:themeColor="text1"/>
          <w:sz w:val="20"/>
          <w:szCs w:val="20"/>
        </w:rPr>
        <w:t xml:space="preserve">          </w:t>
      </w:r>
      <w:r w:rsidRPr="00F52043">
        <w:rPr>
          <w:rFonts w:ascii="Verdana" w:hAnsi="Verdana"/>
          <w:color w:val="000000" w:themeColor="text1"/>
          <w:sz w:val="20"/>
          <w:szCs w:val="20"/>
        </w:rPr>
        <w:t xml:space="preserve">Da ultimo, per completare il quadro delle forme di collaborazione che possono intercorrere tra una pubblica amministrazione e un legale a essa esterno, occorre tenere presente che è tuttora possibile affidare a un legale un </w:t>
      </w:r>
      <w:r w:rsidRPr="00F52043">
        <w:rPr>
          <w:rFonts w:ascii="Verdana" w:hAnsi="Verdana"/>
          <w:b/>
          <w:color w:val="000000" w:themeColor="text1"/>
          <w:sz w:val="20"/>
          <w:szCs w:val="20"/>
        </w:rPr>
        <w:t>incarico professionale esterno di cui all’art. 7, co. 6 del t.u. sul pubblico impiego</w:t>
      </w:r>
      <w:r w:rsidRPr="00F52043">
        <w:rPr>
          <w:rFonts w:ascii="Verdana" w:hAnsi="Verdana"/>
          <w:color w:val="000000" w:themeColor="text1"/>
          <w:sz w:val="20"/>
          <w:szCs w:val="20"/>
        </w:rPr>
        <w:t>, quindi avente ad oggetto uno studio, una ricerca o, più frequentemente, un parere legale. A esso si applicano tutti i presupposti di legittimità degli incarichi professionali esterni individuati da questa giurisprudenza (per un approfondimento dei vincoli posti al conferimento degli incarichi professionali esterni, si rimanda al capitolo 2.3 del “Monitoraggio degli atti di spesa relativi a collaborazioni, consulenze, studi e ricerche, relazioni pubbliche, convegni, mostre, pubblicità e rappresentanza, posti in essere negli esercizi finanziari 2011 e 2012 dagli enti pubblici aventi sede nell’Emilia-</w:t>
      </w:r>
      <w:r w:rsidRPr="00F52043">
        <w:rPr>
          <w:rFonts w:ascii="Verdana" w:hAnsi="Verdana"/>
          <w:color w:val="000000" w:themeColor="text1"/>
          <w:sz w:val="20"/>
          <w:szCs w:val="20"/>
        </w:rPr>
        <w:lastRenderedPageBreak/>
        <w:t>Romagna”, di questa Sezione, approvato con deliberazione n. 135/2015/VSGO).</w:t>
      </w:r>
    </w:p>
    <w:p w:rsidR="00D81786" w:rsidRDefault="00D81786" w:rsidP="000133D0">
      <w:pPr>
        <w:spacing w:line="360" w:lineRule="auto"/>
        <w:ind w:firstLine="709"/>
        <w:jc w:val="both"/>
        <w:rPr>
          <w:rFonts w:ascii="Verdana" w:hAnsi="Verdana"/>
          <w:sz w:val="20"/>
          <w:szCs w:val="20"/>
        </w:rPr>
      </w:pPr>
    </w:p>
    <w:p w:rsidR="00D81786" w:rsidRDefault="00D81786" w:rsidP="000133D0">
      <w:pPr>
        <w:spacing w:line="360" w:lineRule="auto"/>
        <w:ind w:firstLine="709"/>
        <w:jc w:val="both"/>
        <w:rPr>
          <w:rFonts w:ascii="Verdana" w:hAnsi="Verdana"/>
          <w:sz w:val="20"/>
          <w:szCs w:val="20"/>
        </w:rPr>
      </w:pPr>
    </w:p>
    <w:p w:rsidR="000133D0" w:rsidRPr="00F52043" w:rsidRDefault="000133D0" w:rsidP="000133D0">
      <w:pPr>
        <w:spacing w:line="360" w:lineRule="auto"/>
        <w:ind w:firstLine="709"/>
        <w:jc w:val="both"/>
        <w:rPr>
          <w:rFonts w:ascii="Verdana" w:hAnsi="Verdana"/>
          <w:sz w:val="20"/>
          <w:szCs w:val="20"/>
        </w:rPr>
      </w:pPr>
      <w:r w:rsidRPr="00F52043">
        <w:rPr>
          <w:rFonts w:ascii="Verdana" w:hAnsi="Verdana"/>
          <w:sz w:val="20"/>
          <w:szCs w:val="20"/>
        </w:rPr>
        <w:t xml:space="preserve">Tanto premesso, </w:t>
      </w:r>
      <w:r w:rsidRPr="00F52043">
        <w:rPr>
          <w:rFonts w:ascii="Verdana" w:hAnsi="Verdana"/>
          <w:b/>
          <w:sz w:val="20"/>
          <w:szCs w:val="20"/>
        </w:rPr>
        <w:t>si segnalano i seguenti specifici profili di criticità</w:t>
      </w:r>
      <w:r w:rsidRPr="00F52043">
        <w:rPr>
          <w:rFonts w:ascii="Verdana" w:hAnsi="Verdana"/>
          <w:sz w:val="20"/>
          <w:szCs w:val="20"/>
        </w:rPr>
        <w:t xml:space="preserve"> che sono emersi dall’esame delle risposte fornite al questionario sui servizi legali e dai dati relativi agli incarichi affidati all’esterno.</w:t>
      </w:r>
    </w:p>
    <w:p w:rsidR="00F0538B" w:rsidRPr="000F70FF" w:rsidRDefault="00F0538B" w:rsidP="00F0538B">
      <w:pPr>
        <w:spacing w:line="360" w:lineRule="auto"/>
        <w:ind w:firstLine="708"/>
        <w:jc w:val="both"/>
        <w:rPr>
          <w:rFonts w:ascii="Verdana" w:hAnsi="Verdana"/>
          <w:b/>
          <w:sz w:val="20"/>
          <w:szCs w:val="20"/>
        </w:rPr>
      </w:pPr>
      <w:r w:rsidRPr="000F70FF">
        <w:rPr>
          <w:rFonts w:ascii="Verdana" w:hAnsi="Verdana"/>
          <w:b/>
          <w:sz w:val="20"/>
          <w:szCs w:val="20"/>
        </w:rPr>
        <w:t>Mancato inserimento degli incarichi di patrocinio nel documento unico di programmazione o in altro atto di programmazione</w:t>
      </w:r>
    </w:p>
    <w:p w:rsidR="00F0538B" w:rsidRDefault="00F0538B" w:rsidP="00F0538B">
      <w:pPr>
        <w:spacing w:line="360" w:lineRule="auto"/>
        <w:ind w:firstLine="709"/>
        <w:jc w:val="both"/>
        <w:rPr>
          <w:rFonts w:ascii="Verdana" w:hAnsi="Verdana"/>
          <w:sz w:val="20"/>
          <w:szCs w:val="20"/>
        </w:rPr>
      </w:pPr>
      <w:r>
        <w:rPr>
          <w:rFonts w:ascii="Verdana" w:hAnsi="Verdana"/>
          <w:sz w:val="20"/>
          <w:szCs w:val="20"/>
        </w:rPr>
        <w:t>L’E</w:t>
      </w:r>
      <w:r w:rsidRPr="006E7FC9">
        <w:rPr>
          <w:rFonts w:ascii="Verdana" w:hAnsi="Verdana"/>
          <w:sz w:val="20"/>
          <w:szCs w:val="20"/>
        </w:rPr>
        <w:t>nte non ha inserito nel DUP o in altro atto di programmazione gli incarichi di patrocinio che prevedibilmente sarebbero stati conferiti nell’anno di riferimento, specificandone tipologie e costi. L’inclusione delle summenzionate previsioni in un atto di programmazione, pur non rientrando nel contenuto necessario del DUP, come puntualizzato dal d. lgs. n. 118/2011, allegato n. 4/1, risponde</w:t>
      </w:r>
      <w:r>
        <w:rPr>
          <w:rFonts w:ascii="Verdana" w:hAnsi="Verdana"/>
          <w:sz w:val="20"/>
          <w:szCs w:val="20"/>
        </w:rPr>
        <w:t>rebbe</w:t>
      </w:r>
      <w:r w:rsidRPr="006E7FC9">
        <w:rPr>
          <w:rFonts w:ascii="Verdana" w:hAnsi="Verdana"/>
          <w:sz w:val="20"/>
          <w:szCs w:val="20"/>
        </w:rPr>
        <w:t xml:space="preserve"> ad un criterio di buon andamento e di corretta g</w:t>
      </w:r>
      <w:r>
        <w:rPr>
          <w:rFonts w:ascii="Verdana" w:hAnsi="Verdana"/>
          <w:sz w:val="20"/>
          <w:szCs w:val="20"/>
        </w:rPr>
        <w:t>estione delle risorse pubbliche</w:t>
      </w:r>
      <w:r w:rsidR="0094458F">
        <w:rPr>
          <w:rFonts w:ascii="Verdana" w:hAnsi="Verdana"/>
          <w:sz w:val="20"/>
          <w:szCs w:val="20"/>
        </w:rPr>
        <w:t>,</w:t>
      </w:r>
      <w:r>
        <w:rPr>
          <w:rFonts w:ascii="Verdana" w:hAnsi="Verdana"/>
          <w:sz w:val="20"/>
          <w:szCs w:val="20"/>
        </w:rPr>
        <w:t xml:space="preserve"> </w:t>
      </w:r>
      <w:r w:rsidRPr="00F133CB">
        <w:rPr>
          <w:rFonts w:ascii="Verdana" w:hAnsi="Verdana"/>
          <w:sz w:val="20"/>
          <w:szCs w:val="20"/>
        </w:rPr>
        <w:t>a</w:t>
      </w:r>
      <w:r w:rsidR="0065083A" w:rsidRPr="00F133CB">
        <w:rPr>
          <w:rFonts w:ascii="Verdana" w:hAnsi="Verdana"/>
          <w:sz w:val="20"/>
          <w:szCs w:val="20"/>
        </w:rPr>
        <w:t>nche in funzione di una</w:t>
      </w:r>
      <w:r w:rsidRPr="00F133CB">
        <w:rPr>
          <w:rFonts w:ascii="Verdana" w:hAnsi="Verdana"/>
          <w:sz w:val="20"/>
          <w:szCs w:val="20"/>
        </w:rPr>
        <w:t xml:space="preserve"> stima</w:t>
      </w:r>
      <w:r w:rsidR="0065083A" w:rsidRPr="00F133CB">
        <w:rPr>
          <w:rFonts w:ascii="Verdana" w:hAnsi="Verdana"/>
          <w:sz w:val="20"/>
          <w:szCs w:val="20"/>
        </w:rPr>
        <w:t xml:space="preserve"> appropriata </w:t>
      </w:r>
      <w:r w:rsidRPr="00F133CB">
        <w:rPr>
          <w:rFonts w:ascii="Verdana" w:hAnsi="Verdana"/>
          <w:sz w:val="20"/>
          <w:szCs w:val="20"/>
        </w:rPr>
        <w:t>delle</w:t>
      </w:r>
      <w:r w:rsidR="00F11085">
        <w:rPr>
          <w:rFonts w:ascii="Verdana" w:hAnsi="Verdana"/>
          <w:sz w:val="20"/>
          <w:szCs w:val="20"/>
        </w:rPr>
        <w:t xml:space="preserve"> relative</w:t>
      </w:r>
      <w:r w:rsidRPr="00F133CB">
        <w:rPr>
          <w:rFonts w:ascii="Verdana" w:hAnsi="Verdana"/>
          <w:sz w:val="20"/>
          <w:szCs w:val="20"/>
        </w:rPr>
        <w:t xml:space="preserve"> coperture finanziarie.</w:t>
      </w:r>
      <w:r w:rsidRPr="006E7FC9">
        <w:rPr>
          <w:rFonts w:ascii="Verdana" w:hAnsi="Verdana"/>
          <w:sz w:val="20"/>
          <w:szCs w:val="20"/>
        </w:rPr>
        <w:t xml:space="preserve"> </w:t>
      </w:r>
    </w:p>
    <w:p w:rsidR="00F0538B" w:rsidRPr="000F70FF" w:rsidRDefault="00F0538B" w:rsidP="00F0538B">
      <w:pPr>
        <w:spacing w:line="360" w:lineRule="auto"/>
        <w:ind w:firstLine="708"/>
        <w:jc w:val="both"/>
        <w:rPr>
          <w:rFonts w:ascii="Verdana" w:hAnsi="Verdana"/>
          <w:b/>
          <w:sz w:val="20"/>
          <w:szCs w:val="20"/>
        </w:rPr>
      </w:pPr>
      <w:r w:rsidRPr="000F70FF">
        <w:rPr>
          <w:rFonts w:ascii="Verdana" w:hAnsi="Verdana"/>
          <w:b/>
          <w:sz w:val="20"/>
          <w:szCs w:val="20"/>
        </w:rPr>
        <w:t>Mancata adozione di norme regolamentari finalizzate a disciplinare l’affidamento dei patrocini lega</w:t>
      </w:r>
      <w:r>
        <w:rPr>
          <w:rFonts w:ascii="Verdana" w:hAnsi="Verdana"/>
          <w:b/>
          <w:sz w:val="20"/>
          <w:szCs w:val="20"/>
        </w:rPr>
        <w:t>l</w:t>
      </w:r>
      <w:r w:rsidRPr="000F70FF">
        <w:rPr>
          <w:rFonts w:ascii="Verdana" w:hAnsi="Verdana"/>
          <w:b/>
          <w:sz w:val="20"/>
          <w:szCs w:val="20"/>
        </w:rPr>
        <w:t xml:space="preserve">i  </w:t>
      </w:r>
    </w:p>
    <w:p w:rsidR="00F0538B" w:rsidRPr="006E7FC9" w:rsidRDefault="00F0538B" w:rsidP="00F0538B">
      <w:pPr>
        <w:spacing w:line="360" w:lineRule="auto"/>
        <w:ind w:firstLine="709"/>
        <w:jc w:val="both"/>
        <w:rPr>
          <w:rFonts w:ascii="Verdana" w:hAnsi="Verdana"/>
          <w:sz w:val="20"/>
          <w:szCs w:val="20"/>
        </w:rPr>
      </w:pPr>
      <w:r w:rsidRPr="00F133CB">
        <w:rPr>
          <w:rFonts w:ascii="Verdana" w:hAnsi="Verdana"/>
          <w:sz w:val="20"/>
          <w:szCs w:val="20"/>
        </w:rPr>
        <w:t>Il Comune di Ferrara ha</w:t>
      </w:r>
      <w:r w:rsidR="0094458F" w:rsidRPr="00F133CB">
        <w:rPr>
          <w:rFonts w:ascii="Verdana" w:hAnsi="Verdana"/>
          <w:sz w:val="20"/>
          <w:szCs w:val="20"/>
        </w:rPr>
        <w:t xml:space="preserve"> escluso </w:t>
      </w:r>
      <w:r w:rsidRPr="00F133CB">
        <w:rPr>
          <w:rFonts w:ascii="Verdana" w:hAnsi="Verdana"/>
          <w:sz w:val="20"/>
          <w:szCs w:val="20"/>
        </w:rPr>
        <w:t>gli incarichi di patrocinio legale</w:t>
      </w:r>
      <w:r w:rsidR="0094458F" w:rsidRPr="00F133CB">
        <w:rPr>
          <w:rFonts w:ascii="Verdana" w:hAnsi="Verdana"/>
          <w:sz w:val="20"/>
          <w:szCs w:val="20"/>
        </w:rPr>
        <w:t xml:space="preserve"> </w:t>
      </w:r>
      <w:r w:rsidRPr="00F133CB">
        <w:rPr>
          <w:rFonts w:ascii="Verdana" w:hAnsi="Verdana"/>
          <w:sz w:val="20"/>
          <w:szCs w:val="20"/>
        </w:rPr>
        <w:t>dalla disciplina</w:t>
      </w:r>
      <w:r w:rsidR="0094458F" w:rsidRPr="00F133CB">
        <w:rPr>
          <w:rFonts w:ascii="Verdana" w:hAnsi="Verdana"/>
          <w:sz w:val="20"/>
          <w:szCs w:val="20"/>
        </w:rPr>
        <w:t xml:space="preserve"> predisposta</w:t>
      </w:r>
      <w:r w:rsidRPr="00F133CB">
        <w:rPr>
          <w:rFonts w:ascii="Verdana" w:hAnsi="Verdana"/>
          <w:sz w:val="20"/>
          <w:szCs w:val="20"/>
        </w:rPr>
        <w:t xml:space="preserve"> per l’affidamen</w:t>
      </w:r>
      <w:r w:rsidR="0094458F" w:rsidRPr="00F133CB">
        <w:rPr>
          <w:rFonts w:ascii="Verdana" w:hAnsi="Verdana"/>
          <w:sz w:val="20"/>
          <w:szCs w:val="20"/>
        </w:rPr>
        <w:t>to di</w:t>
      </w:r>
      <w:r w:rsidRPr="00F133CB">
        <w:rPr>
          <w:rFonts w:ascii="Verdana" w:hAnsi="Verdana"/>
          <w:sz w:val="20"/>
          <w:szCs w:val="20"/>
        </w:rPr>
        <w:t xml:space="preserve"> incarichi professionali esterni. Tuttavia</w:t>
      </w:r>
      <w:r w:rsidRPr="006E7FC9">
        <w:rPr>
          <w:rFonts w:ascii="Verdana" w:hAnsi="Verdana"/>
          <w:sz w:val="20"/>
          <w:szCs w:val="20"/>
        </w:rPr>
        <w:t>, non ha regolamentato l’affidamento di patrocini legali all’esterno: una normativa finalizzata a disciplinare la materia sarebbe in realtà opportuna e dovrebbe tra l’altro prevedere che</w:t>
      </w:r>
      <w:r w:rsidR="0094458F">
        <w:rPr>
          <w:rFonts w:ascii="Verdana" w:hAnsi="Verdana"/>
          <w:sz w:val="20"/>
          <w:szCs w:val="20"/>
        </w:rPr>
        <w:t xml:space="preserve"> </w:t>
      </w:r>
      <w:r w:rsidRPr="006E7FC9">
        <w:rPr>
          <w:rFonts w:ascii="Verdana" w:hAnsi="Verdana"/>
          <w:sz w:val="20"/>
          <w:szCs w:val="20"/>
        </w:rPr>
        <w:t>l’affidamento</w:t>
      </w:r>
      <w:r>
        <w:rPr>
          <w:rFonts w:ascii="Verdana" w:hAnsi="Verdana"/>
          <w:sz w:val="20"/>
          <w:szCs w:val="20"/>
        </w:rPr>
        <w:t xml:space="preserve"> </w:t>
      </w:r>
      <w:r w:rsidRPr="006E7FC9">
        <w:rPr>
          <w:rFonts w:ascii="Verdana" w:hAnsi="Verdana"/>
          <w:sz w:val="20"/>
          <w:szCs w:val="20"/>
        </w:rPr>
        <w:t>avvenga, in via preferenziale, in favore degli avvocati interni all’ente. Essa dovrebbe, inoltre, procedimentalizzare l’accertamento, preliminare rispetto all’affidamento di ciascun incarico, dell’effettiva impossibilità pe</w:t>
      </w:r>
      <w:r>
        <w:rPr>
          <w:rFonts w:ascii="Verdana" w:hAnsi="Verdana"/>
          <w:sz w:val="20"/>
          <w:szCs w:val="20"/>
        </w:rPr>
        <w:t xml:space="preserve">r i legali dipendenti </w:t>
      </w:r>
      <w:r w:rsidRPr="006E7FC9">
        <w:rPr>
          <w:rFonts w:ascii="Verdana" w:hAnsi="Verdana"/>
          <w:sz w:val="20"/>
          <w:szCs w:val="20"/>
        </w:rPr>
        <w:t>di assumere l’incarico</w:t>
      </w:r>
      <w:r w:rsidRPr="006E7FC9">
        <w:rPr>
          <w:rStyle w:val="Rimandonotaapidipagina"/>
          <w:rFonts w:ascii="Verdana" w:eastAsia="ArialUnicodeMS" w:hAnsi="Verdana"/>
          <w:sz w:val="20"/>
          <w:szCs w:val="20"/>
        </w:rPr>
        <w:footnoteReference w:id="3"/>
      </w:r>
      <w:r w:rsidRPr="006E7FC9">
        <w:rPr>
          <w:rFonts w:ascii="Verdana" w:hAnsi="Verdana"/>
          <w:sz w:val="20"/>
          <w:szCs w:val="20"/>
        </w:rPr>
        <w:t xml:space="preserve">. </w:t>
      </w:r>
    </w:p>
    <w:p w:rsidR="00F0538B" w:rsidRPr="0007167A" w:rsidRDefault="00F0538B" w:rsidP="00F0538B">
      <w:pPr>
        <w:spacing w:line="360" w:lineRule="auto"/>
        <w:ind w:firstLine="709"/>
        <w:jc w:val="both"/>
        <w:rPr>
          <w:rFonts w:ascii="Verdana" w:hAnsi="Verdana"/>
          <w:b/>
          <w:sz w:val="20"/>
          <w:szCs w:val="20"/>
        </w:rPr>
      </w:pPr>
      <w:r>
        <w:rPr>
          <w:rFonts w:ascii="Verdana" w:hAnsi="Verdana"/>
          <w:b/>
          <w:sz w:val="20"/>
          <w:szCs w:val="20"/>
        </w:rPr>
        <w:t xml:space="preserve">Ricorso all’affidamento diretto di domiciliazioni legali </w:t>
      </w:r>
    </w:p>
    <w:p w:rsidR="00F0538B" w:rsidRPr="006E7FC9" w:rsidRDefault="00F0538B" w:rsidP="00F0538B">
      <w:pPr>
        <w:spacing w:line="360" w:lineRule="auto"/>
        <w:jc w:val="both"/>
        <w:rPr>
          <w:rFonts w:ascii="Verdana" w:hAnsi="Verdana"/>
          <w:sz w:val="20"/>
          <w:szCs w:val="20"/>
        </w:rPr>
      </w:pPr>
      <w:r w:rsidRPr="00CD449D">
        <w:rPr>
          <w:rFonts w:ascii="Verdana" w:hAnsi="Verdana"/>
          <w:sz w:val="20"/>
          <w:szCs w:val="20"/>
        </w:rPr>
        <w:t>In riferimento ai reiterati incarichi di domiciliazione affidati nel corso del 2015 in via fiduciaria</w:t>
      </w:r>
      <w:r>
        <w:rPr>
          <w:rFonts w:ascii="Verdana" w:hAnsi="Verdana"/>
          <w:sz w:val="20"/>
          <w:szCs w:val="20"/>
        </w:rPr>
        <w:t xml:space="preserve"> allo stesso legale e per importi non trascurabili</w:t>
      </w:r>
      <w:r w:rsidRPr="00CD449D">
        <w:rPr>
          <w:rFonts w:ascii="Verdana" w:hAnsi="Verdana"/>
          <w:sz w:val="20"/>
          <w:szCs w:val="20"/>
        </w:rPr>
        <w:t xml:space="preserve">, la Sezione rileva </w:t>
      </w:r>
      <w:r w:rsidRPr="00C340A6">
        <w:rPr>
          <w:rFonts w:ascii="Verdana" w:hAnsi="Verdana"/>
          <w:sz w:val="20"/>
          <w:szCs w:val="20"/>
        </w:rPr>
        <w:t>quanto segue</w:t>
      </w:r>
      <w:r w:rsidR="00C340A6">
        <w:rPr>
          <w:rFonts w:ascii="Verdana" w:hAnsi="Verdana"/>
          <w:sz w:val="20"/>
          <w:szCs w:val="20"/>
        </w:rPr>
        <w:t xml:space="preserve">. </w:t>
      </w:r>
      <w:r w:rsidRPr="00C340A6">
        <w:rPr>
          <w:rFonts w:ascii="Verdana" w:hAnsi="Verdana"/>
          <w:sz w:val="20"/>
          <w:szCs w:val="20"/>
        </w:rPr>
        <w:t>La</w:t>
      </w:r>
      <w:r w:rsidRPr="006E7FC9">
        <w:rPr>
          <w:rFonts w:ascii="Verdana" w:hAnsi="Verdana"/>
          <w:sz w:val="20"/>
          <w:szCs w:val="20"/>
        </w:rPr>
        <w:t xml:space="preserve"> domiciliazione è un incarico in cui il requisito dell’</w:t>
      </w:r>
      <w:r w:rsidRPr="006E7FC9">
        <w:rPr>
          <w:rFonts w:ascii="Verdana" w:hAnsi="Verdana"/>
          <w:i/>
          <w:sz w:val="20"/>
          <w:szCs w:val="20"/>
        </w:rPr>
        <w:t>intuitu</w:t>
      </w:r>
      <w:r>
        <w:rPr>
          <w:rFonts w:ascii="Verdana" w:hAnsi="Verdana"/>
          <w:i/>
          <w:sz w:val="20"/>
          <w:szCs w:val="20"/>
        </w:rPr>
        <w:t xml:space="preserve">s </w:t>
      </w:r>
      <w:r w:rsidRPr="006E7FC9">
        <w:rPr>
          <w:rFonts w:ascii="Verdana" w:hAnsi="Verdana"/>
          <w:i/>
          <w:sz w:val="20"/>
          <w:szCs w:val="20"/>
        </w:rPr>
        <w:t xml:space="preserve">personae </w:t>
      </w:r>
      <w:r w:rsidRPr="006E7FC9">
        <w:rPr>
          <w:rFonts w:ascii="Verdana" w:hAnsi="Verdana"/>
          <w:sz w:val="20"/>
          <w:szCs w:val="20"/>
        </w:rPr>
        <w:t>non è di particolare rilevanza,</w:t>
      </w:r>
      <w:r>
        <w:rPr>
          <w:rFonts w:ascii="Verdana" w:hAnsi="Verdana"/>
          <w:sz w:val="20"/>
          <w:szCs w:val="20"/>
        </w:rPr>
        <w:t xml:space="preserve"> fatto per cui</w:t>
      </w:r>
      <w:r w:rsidRPr="006E7FC9">
        <w:rPr>
          <w:rFonts w:ascii="Verdana" w:hAnsi="Verdana"/>
          <w:sz w:val="20"/>
          <w:szCs w:val="20"/>
        </w:rPr>
        <w:t xml:space="preserve"> la scelta dell’affidatario non può ragionevolmente fondarsi sull’aspetto prettamente fiduciario, ma deve orientarsi su un altro criterio di selezione, in particolare il costo più basso</w:t>
      </w:r>
      <w:r>
        <w:rPr>
          <w:rFonts w:ascii="Verdana" w:hAnsi="Verdana"/>
          <w:sz w:val="20"/>
          <w:szCs w:val="20"/>
        </w:rPr>
        <w:t>,</w:t>
      </w:r>
      <w:r w:rsidRPr="006E7FC9">
        <w:rPr>
          <w:rFonts w:ascii="Verdana" w:hAnsi="Verdana"/>
          <w:sz w:val="20"/>
          <w:szCs w:val="20"/>
        </w:rPr>
        <w:t xml:space="preserve"> ottenibile tramite una procedura comparativa</w:t>
      </w:r>
      <w:r w:rsidRPr="00F133CB">
        <w:rPr>
          <w:rFonts w:ascii="Verdana" w:hAnsi="Verdana"/>
          <w:sz w:val="20"/>
          <w:szCs w:val="20"/>
        </w:rPr>
        <w:t xml:space="preserve">. Non è poi da sottovalutare che, </w:t>
      </w:r>
      <w:r w:rsidRPr="00F133CB">
        <w:rPr>
          <w:rFonts w:ascii="Verdana" w:hAnsi="Verdana"/>
          <w:sz w:val="20"/>
          <w:szCs w:val="20"/>
        </w:rPr>
        <w:lastRenderedPageBreak/>
        <w:t>con la digitalizzazione e l’informatizzazione del sistema giudiziario, la funzione di interlocuzione diretta con i differenti plessi giudizi</w:t>
      </w:r>
      <w:r w:rsidR="003968C0">
        <w:rPr>
          <w:rFonts w:ascii="Verdana" w:hAnsi="Verdana"/>
          <w:sz w:val="20"/>
          <w:szCs w:val="20"/>
        </w:rPr>
        <w:t xml:space="preserve">ari da parte dei legali del posto </w:t>
      </w:r>
      <w:r w:rsidRPr="00F133CB">
        <w:rPr>
          <w:rFonts w:ascii="Verdana" w:hAnsi="Verdana"/>
          <w:sz w:val="20"/>
          <w:szCs w:val="20"/>
        </w:rPr>
        <w:t>risulta meno rilevante che in passato.</w:t>
      </w:r>
      <w:r w:rsidRPr="006E7FC9">
        <w:rPr>
          <w:rFonts w:ascii="Verdana" w:hAnsi="Verdana"/>
          <w:sz w:val="20"/>
          <w:szCs w:val="20"/>
        </w:rPr>
        <w:t xml:space="preserve"> Pertanto</w:t>
      </w:r>
      <w:r w:rsidR="003968C0">
        <w:rPr>
          <w:rFonts w:ascii="Verdana" w:hAnsi="Verdana"/>
          <w:sz w:val="20"/>
          <w:szCs w:val="20"/>
        </w:rPr>
        <w:t xml:space="preserve"> </w:t>
      </w:r>
      <w:r w:rsidRPr="006E7FC9">
        <w:rPr>
          <w:rFonts w:ascii="Verdana" w:hAnsi="Verdana"/>
          <w:sz w:val="20"/>
          <w:szCs w:val="20"/>
        </w:rPr>
        <w:t>l’</w:t>
      </w:r>
      <w:r w:rsidR="003968C0">
        <w:rPr>
          <w:rFonts w:ascii="Verdana" w:hAnsi="Verdana"/>
          <w:sz w:val="20"/>
          <w:szCs w:val="20"/>
        </w:rPr>
        <w:t>E</w:t>
      </w:r>
      <w:r w:rsidRPr="006E7FC9">
        <w:rPr>
          <w:rFonts w:ascii="Verdana" w:hAnsi="Verdana"/>
          <w:sz w:val="20"/>
          <w:szCs w:val="20"/>
        </w:rPr>
        <w:t>nte è invitato, per il futuro, a valutare con la massima attenzione la convenienza di ricorrere a domiciliazioni legali.</w:t>
      </w:r>
    </w:p>
    <w:p w:rsidR="00F0538B" w:rsidRDefault="00F0538B" w:rsidP="00F0538B">
      <w:pPr>
        <w:spacing w:line="360" w:lineRule="auto"/>
        <w:ind w:firstLine="709"/>
        <w:jc w:val="both"/>
        <w:rPr>
          <w:rFonts w:ascii="Verdana" w:hAnsi="Verdana"/>
          <w:sz w:val="20"/>
          <w:szCs w:val="20"/>
        </w:rPr>
      </w:pPr>
      <w:r>
        <w:rPr>
          <w:rFonts w:ascii="Verdana" w:hAnsi="Verdana"/>
          <w:sz w:val="20"/>
          <w:szCs w:val="20"/>
        </w:rPr>
        <w:t>Peraltro, l</w:t>
      </w:r>
      <w:r w:rsidRPr="006E7FC9">
        <w:rPr>
          <w:rFonts w:ascii="Verdana" w:hAnsi="Verdana"/>
          <w:sz w:val="20"/>
          <w:szCs w:val="20"/>
        </w:rPr>
        <w:t xml:space="preserve">’affidamento diretto di </w:t>
      </w:r>
      <w:r>
        <w:rPr>
          <w:rFonts w:ascii="Verdana" w:hAnsi="Verdana"/>
          <w:sz w:val="20"/>
          <w:szCs w:val="20"/>
        </w:rPr>
        <w:t xml:space="preserve">incarichi legali (nel caso di Ferrara di domiciliazioni) </w:t>
      </w:r>
      <w:r w:rsidRPr="006E7FC9">
        <w:rPr>
          <w:rFonts w:ascii="Verdana" w:hAnsi="Verdana"/>
          <w:sz w:val="20"/>
          <w:szCs w:val="20"/>
        </w:rPr>
        <w:t>si pone in contrasto con la giurispruden</w:t>
      </w:r>
      <w:r>
        <w:rPr>
          <w:rFonts w:ascii="Verdana" w:hAnsi="Verdana"/>
          <w:sz w:val="20"/>
          <w:szCs w:val="20"/>
        </w:rPr>
        <w:t xml:space="preserve">za consolidata di questa Corte </w:t>
      </w:r>
      <w:r w:rsidRPr="006E7FC9">
        <w:rPr>
          <w:rFonts w:ascii="Verdana" w:hAnsi="Verdana"/>
          <w:sz w:val="20"/>
          <w:szCs w:val="20"/>
        </w:rPr>
        <w:t>che esclude la possibilità di effettuar</w:t>
      </w:r>
      <w:r>
        <w:rPr>
          <w:rFonts w:ascii="Verdana" w:hAnsi="Verdana"/>
          <w:sz w:val="20"/>
          <w:szCs w:val="20"/>
        </w:rPr>
        <w:t>n</w:t>
      </w:r>
      <w:r w:rsidRPr="006E7FC9">
        <w:rPr>
          <w:rFonts w:ascii="Verdana" w:hAnsi="Verdana"/>
          <w:sz w:val="20"/>
          <w:szCs w:val="20"/>
        </w:rPr>
        <w:t>e l’affidamento in via fiduciaria</w:t>
      </w:r>
      <w:r>
        <w:rPr>
          <w:rFonts w:ascii="Verdana" w:hAnsi="Verdana"/>
          <w:sz w:val="20"/>
          <w:szCs w:val="20"/>
        </w:rPr>
        <w:t xml:space="preserve">, </w:t>
      </w:r>
      <w:r w:rsidRPr="00F133CB">
        <w:rPr>
          <w:rFonts w:ascii="Verdana" w:hAnsi="Verdana"/>
          <w:sz w:val="20"/>
          <w:szCs w:val="20"/>
        </w:rPr>
        <w:t>giurisprudenza oggi avvalorata dalle richiamate novità normative di cui al d. lgs.</w:t>
      </w:r>
      <w:r w:rsidR="00CE7031">
        <w:rPr>
          <w:rFonts w:ascii="Verdana" w:hAnsi="Verdana"/>
          <w:sz w:val="20"/>
          <w:szCs w:val="20"/>
        </w:rPr>
        <w:t xml:space="preserve"> n. </w:t>
      </w:r>
      <w:r w:rsidRPr="00F133CB">
        <w:rPr>
          <w:rFonts w:ascii="Verdana" w:hAnsi="Verdana"/>
          <w:sz w:val="20"/>
          <w:szCs w:val="20"/>
        </w:rPr>
        <w:t>50/2016. La</w:t>
      </w:r>
      <w:r w:rsidRPr="006E7FC9">
        <w:rPr>
          <w:rFonts w:ascii="Verdana" w:hAnsi="Verdana"/>
          <w:sz w:val="20"/>
          <w:szCs w:val="20"/>
        </w:rPr>
        <w:t xml:space="preserve"> mancanza di una procedura comparativa, infatti, viola i principi di imparzialità, pubblicità e concorrenza. </w:t>
      </w:r>
    </w:p>
    <w:p w:rsidR="00F0538B" w:rsidRPr="0007167A" w:rsidRDefault="00F0538B" w:rsidP="00F0538B">
      <w:pPr>
        <w:spacing w:line="360" w:lineRule="auto"/>
        <w:ind w:firstLine="709"/>
        <w:jc w:val="both"/>
        <w:rPr>
          <w:rFonts w:ascii="Verdana" w:hAnsi="Verdana"/>
          <w:b/>
          <w:sz w:val="20"/>
          <w:szCs w:val="20"/>
        </w:rPr>
      </w:pPr>
      <w:r w:rsidRPr="00385A5C">
        <w:t xml:space="preserve"> </w:t>
      </w:r>
      <w:r>
        <w:rPr>
          <w:rFonts w:ascii="Verdana" w:hAnsi="Verdana"/>
          <w:b/>
          <w:sz w:val="20"/>
          <w:szCs w:val="20"/>
        </w:rPr>
        <w:t xml:space="preserve">Mancata richiesta di preventivo per gli incarichi di domiciliazione legale </w:t>
      </w:r>
    </w:p>
    <w:p w:rsidR="00F0538B" w:rsidRPr="006E7FC9" w:rsidRDefault="00F0538B" w:rsidP="00BD15FE">
      <w:pPr>
        <w:spacing w:line="360" w:lineRule="auto"/>
        <w:ind w:firstLine="709"/>
        <w:jc w:val="both"/>
        <w:rPr>
          <w:rFonts w:ascii="Verdana" w:hAnsi="Verdana"/>
          <w:sz w:val="20"/>
          <w:szCs w:val="20"/>
        </w:rPr>
      </w:pPr>
      <w:r w:rsidRPr="00B30F2F">
        <w:rPr>
          <w:rFonts w:ascii="Verdana" w:hAnsi="Verdana"/>
          <w:sz w:val="20"/>
          <w:szCs w:val="20"/>
        </w:rPr>
        <w:t>Il Comune ha dichiarato che</w:t>
      </w:r>
      <w:r>
        <w:rPr>
          <w:rFonts w:ascii="Verdana" w:hAnsi="Verdana"/>
          <w:sz w:val="20"/>
          <w:szCs w:val="20"/>
        </w:rPr>
        <w:t xml:space="preserve"> in 2 casi</w:t>
      </w:r>
      <w:r w:rsidRPr="00B30F2F">
        <w:rPr>
          <w:rFonts w:ascii="Verdana" w:hAnsi="Verdana"/>
          <w:sz w:val="20"/>
          <w:szCs w:val="20"/>
        </w:rPr>
        <w:t xml:space="preserve"> non ha chiesto i preventivi </w:t>
      </w:r>
      <w:r>
        <w:rPr>
          <w:rFonts w:ascii="Verdana" w:hAnsi="Verdana"/>
          <w:sz w:val="20"/>
          <w:szCs w:val="20"/>
        </w:rPr>
        <w:t>ad un</w:t>
      </w:r>
      <w:r w:rsidRPr="00B30F2F">
        <w:rPr>
          <w:rFonts w:ascii="Verdana" w:hAnsi="Verdana"/>
          <w:sz w:val="20"/>
          <w:szCs w:val="20"/>
        </w:rPr>
        <w:t xml:space="preserve"> legal</w:t>
      </w:r>
      <w:r>
        <w:rPr>
          <w:rFonts w:ascii="Verdana" w:hAnsi="Verdana"/>
          <w:sz w:val="20"/>
          <w:szCs w:val="20"/>
        </w:rPr>
        <w:t>e</w:t>
      </w:r>
      <w:r w:rsidRPr="00B30F2F">
        <w:rPr>
          <w:rFonts w:ascii="Verdana" w:hAnsi="Verdana"/>
          <w:sz w:val="20"/>
          <w:szCs w:val="20"/>
        </w:rPr>
        <w:t xml:space="preserve"> affidatari</w:t>
      </w:r>
      <w:r>
        <w:rPr>
          <w:rFonts w:ascii="Verdana" w:hAnsi="Verdana"/>
          <w:sz w:val="20"/>
          <w:szCs w:val="20"/>
        </w:rPr>
        <w:t>o d</w:t>
      </w:r>
      <w:r w:rsidRPr="00B30F2F">
        <w:rPr>
          <w:rFonts w:ascii="Verdana" w:hAnsi="Verdana"/>
          <w:sz w:val="20"/>
          <w:szCs w:val="20"/>
        </w:rPr>
        <w:t>i</w:t>
      </w:r>
      <w:r>
        <w:rPr>
          <w:rFonts w:ascii="Verdana" w:hAnsi="Verdana"/>
          <w:sz w:val="20"/>
          <w:szCs w:val="20"/>
        </w:rPr>
        <w:t xml:space="preserve"> domiciliazioni</w:t>
      </w:r>
      <w:r w:rsidR="003968C0">
        <w:rPr>
          <w:rFonts w:ascii="Verdana" w:hAnsi="Verdana"/>
          <w:sz w:val="20"/>
          <w:szCs w:val="20"/>
        </w:rPr>
        <w:t xml:space="preserve">, </w:t>
      </w:r>
      <w:r>
        <w:rPr>
          <w:rFonts w:ascii="Verdana" w:hAnsi="Verdana"/>
          <w:sz w:val="20"/>
          <w:szCs w:val="20"/>
        </w:rPr>
        <w:t xml:space="preserve">allineandosi a </w:t>
      </w:r>
      <w:r w:rsidRPr="00B30F2F">
        <w:rPr>
          <w:rFonts w:ascii="Verdana" w:hAnsi="Verdana"/>
          <w:i/>
          <w:sz w:val="20"/>
          <w:szCs w:val="20"/>
        </w:rPr>
        <w:t>“precedenti identici”</w:t>
      </w:r>
      <w:r w:rsidRPr="00B30F2F">
        <w:rPr>
          <w:rFonts w:ascii="Verdana" w:hAnsi="Verdana"/>
          <w:sz w:val="20"/>
          <w:szCs w:val="20"/>
        </w:rPr>
        <w:t xml:space="preserve">. In proposito, si evidenzia che l’art. 7, comma 6, lett. d), del d.lgs. </w:t>
      </w:r>
      <w:r w:rsidR="00CE7031">
        <w:rPr>
          <w:rFonts w:ascii="Verdana" w:hAnsi="Verdana"/>
          <w:sz w:val="20"/>
          <w:szCs w:val="20"/>
        </w:rPr>
        <w:t>n.</w:t>
      </w:r>
      <w:r w:rsidRPr="00B30F2F">
        <w:rPr>
          <w:rFonts w:ascii="Verdana" w:hAnsi="Verdana"/>
          <w:sz w:val="20"/>
          <w:szCs w:val="20"/>
        </w:rPr>
        <w:t>165/2001, ha stabilito che uno dei presupposti fondamentali per la legittimità del conferimento degli incarichi professionali esterni è che debba essere predeterminato il compenso de</w:t>
      </w:r>
      <w:r>
        <w:rPr>
          <w:rFonts w:ascii="Verdana" w:hAnsi="Verdana"/>
          <w:sz w:val="20"/>
          <w:szCs w:val="20"/>
        </w:rPr>
        <w:t xml:space="preserve">lla collaborazione. </w:t>
      </w:r>
    </w:p>
    <w:p w:rsidR="00F0538B" w:rsidRPr="0007167A" w:rsidRDefault="00F0538B" w:rsidP="00F0538B">
      <w:pPr>
        <w:spacing w:line="360" w:lineRule="auto"/>
        <w:jc w:val="both"/>
        <w:rPr>
          <w:rFonts w:ascii="Verdana" w:hAnsi="Verdana"/>
          <w:b/>
          <w:sz w:val="20"/>
          <w:szCs w:val="20"/>
        </w:rPr>
      </w:pPr>
      <w:r>
        <w:rPr>
          <w:rFonts w:ascii="Verdana" w:hAnsi="Verdana"/>
          <w:sz w:val="20"/>
          <w:szCs w:val="20"/>
        </w:rPr>
        <w:tab/>
      </w:r>
      <w:r>
        <w:rPr>
          <w:rFonts w:ascii="Verdana" w:hAnsi="Verdana"/>
          <w:b/>
          <w:sz w:val="20"/>
          <w:szCs w:val="20"/>
        </w:rPr>
        <w:t>Mancanza di una previa valutazione di congruità del preventivo</w:t>
      </w:r>
    </w:p>
    <w:p w:rsidR="003968C0" w:rsidRDefault="00F0538B" w:rsidP="00F0538B">
      <w:pPr>
        <w:spacing w:line="360" w:lineRule="auto"/>
        <w:jc w:val="both"/>
        <w:rPr>
          <w:rFonts w:ascii="Verdana" w:hAnsi="Verdana"/>
          <w:sz w:val="20"/>
          <w:szCs w:val="20"/>
        </w:rPr>
      </w:pPr>
      <w:r>
        <w:rPr>
          <w:rFonts w:ascii="Verdana" w:hAnsi="Verdana"/>
          <w:sz w:val="20"/>
          <w:szCs w:val="20"/>
        </w:rPr>
        <w:t xml:space="preserve">A seguito di approfondimenti istruttori si è riscontrato che non è stata formalizzata alcuna valutazione di congruità del preventivo per nessuna delle domiciliazioni affidate. Peraltro, </w:t>
      </w:r>
      <w:r w:rsidRPr="00D5086B">
        <w:rPr>
          <w:rFonts w:ascii="Verdana" w:hAnsi="Verdana"/>
          <w:sz w:val="20"/>
          <w:szCs w:val="20"/>
        </w:rPr>
        <w:t>in ragione del principio di buon andamento ed economicità dell’azione pubblica, sarebbe altresì opportuno che i preventivi accolti presentassero dec</w:t>
      </w:r>
      <w:r>
        <w:rPr>
          <w:rFonts w:ascii="Verdana" w:hAnsi="Verdana"/>
          <w:sz w:val="20"/>
          <w:szCs w:val="20"/>
        </w:rPr>
        <w:t xml:space="preserve">urtazioni rispetto al </w:t>
      </w:r>
      <w:r w:rsidRPr="00D5086B">
        <w:rPr>
          <w:rFonts w:ascii="Verdana" w:hAnsi="Verdana"/>
          <w:sz w:val="20"/>
          <w:szCs w:val="20"/>
        </w:rPr>
        <w:t>valore medio</w:t>
      </w:r>
      <w:r>
        <w:rPr>
          <w:rFonts w:ascii="Verdana" w:hAnsi="Verdana"/>
          <w:sz w:val="20"/>
          <w:szCs w:val="20"/>
        </w:rPr>
        <w:t xml:space="preserve"> praticato. </w:t>
      </w:r>
    </w:p>
    <w:p w:rsidR="00F0538B" w:rsidRPr="00D5086B" w:rsidRDefault="00F0538B" w:rsidP="00F0538B">
      <w:pPr>
        <w:spacing w:line="360" w:lineRule="auto"/>
        <w:jc w:val="both"/>
        <w:rPr>
          <w:rFonts w:ascii="Verdana" w:hAnsi="Verdana"/>
          <w:sz w:val="20"/>
          <w:szCs w:val="20"/>
        </w:rPr>
      </w:pPr>
      <w:r>
        <w:rPr>
          <w:rFonts w:ascii="Verdana" w:hAnsi="Verdana"/>
          <w:sz w:val="20"/>
          <w:szCs w:val="20"/>
        </w:rPr>
        <w:t>Più in generale per l’affidamento di patrocini legali, la predetta</w:t>
      </w:r>
      <w:r w:rsidRPr="00D5086B">
        <w:rPr>
          <w:rFonts w:ascii="Verdana" w:hAnsi="Verdana"/>
          <w:sz w:val="20"/>
          <w:szCs w:val="20"/>
        </w:rPr>
        <w:t xml:space="preserve"> valutazione</w:t>
      </w:r>
      <w:r>
        <w:rPr>
          <w:rFonts w:ascii="Verdana" w:hAnsi="Verdana"/>
          <w:sz w:val="20"/>
          <w:szCs w:val="20"/>
        </w:rPr>
        <w:t xml:space="preserve"> di congruità </w:t>
      </w:r>
      <w:r w:rsidRPr="00D5086B">
        <w:rPr>
          <w:rFonts w:ascii="Verdana" w:hAnsi="Verdana"/>
          <w:sz w:val="20"/>
          <w:szCs w:val="20"/>
        </w:rPr>
        <w:t xml:space="preserve">è necessaria per garantire un’attenta e prudente gestione della spesa pubblica e deve avere ad oggetto anche il rapporto tra il preventivo e l’importanza, nonché </w:t>
      </w:r>
      <w:r w:rsidRPr="001B456A">
        <w:rPr>
          <w:rFonts w:ascii="Verdana" w:hAnsi="Verdana"/>
          <w:color w:val="000000" w:themeColor="text1"/>
          <w:sz w:val="20"/>
          <w:szCs w:val="20"/>
        </w:rPr>
        <w:t>la delicatezza della causa.</w:t>
      </w:r>
      <w:r>
        <w:rPr>
          <w:rFonts w:ascii="Verdana" w:hAnsi="Verdana"/>
          <w:color w:val="000000" w:themeColor="text1"/>
          <w:sz w:val="20"/>
          <w:szCs w:val="20"/>
        </w:rPr>
        <w:t xml:space="preserve"> Su</w:t>
      </w:r>
      <w:r w:rsidRPr="001B456A">
        <w:rPr>
          <w:rFonts w:ascii="Verdana" w:hAnsi="Verdana"/>
          <w:color w:val="000000" w:themeColor="text1"/>
          <w:sz w:val="20"/>
          <w:szCs w:val="20"/>
        </w:rPr>
        <w:t>ccessivamente</w:t>
      </w:r>
      <w:r>
        <w:rPr>
          <w:rFonts w:ascii="Verdana" w:hAnsi="Verdana"/>
          <w:color w:val="000000" w:themeColor="text1"/>
          <w:sz w:val="20"/>
          <w:szCs w:val="20"/>
        </w:rPr>
        <w:t>, ogni anno i</w:t>
      </w:r>
      <w:r w:rsidRPr="001B456A">
        <w:rPr>
          <w:rFonts w:ascii="Verdana" w:hAnsi="Verdana"/>
          <w:color w:val="000000" w:themeColor="text1"/>
          <w:sz w:val="20"/>
          <w:szCs w:val="20"/>
        </w:rPr>
        <w:t>l responsabile del procedimento</w:t>
      </w:r>
      <w:r>
        <w:rPr>
          <w:rFonts w:ascii="Verdana" w:hAnsi="Verdana"/>
          <w:color w:val="000000" w:themeColor="text1"/>
          <w:sz w:val="20"/>
          <w:szCs w:val="20"/>
        </w:rPr>
        <w:t xml:space="preserve"> </w:t>
      </w:r>
      <w:r w:rsidRPr="001B456A">
        <w:rPr>
          <w:rFonts w:ascii="Verdana" w:hAnsi="Verdana"/>
          <w:color w:val="000000" w:themeColor="text1"/>
          <w:sz w:val="20"/>
          <w:szCs w:val="20"/>
        </w:rPr>
        <w:t>deve chiedere</w:t>
      </w:r>
      <w:r>
        <w:rPr>
          <w:rFonts w:ascii="Verdana" w:hAnsi="Verdana"/>
          <w:color w:val="000000" w:themeColor="text1"/>
          <w:sz w:val="20"/>
          <w:szCs w:val="20"/>
        </w:rPr>
        <w:t xml:space="preserve"> </w:t>
      </w:r>
      <w:r w:rsidRPr="001B456A">
        <w:rPr>
          <w:rFonts w:ascii="Verdana" w:hAnsi="Verdana"/>
          <w:color w:val="000000" w:themeColor="text1"/>
          <w:sz w:val="20"/>
          <w:szCs w:val="20"/>
        </w:rPr>
        <w:t>al legale</w:t>
      </w:r>
      <w:r>
        <w:rPr>
          <w:rFonts w:ascii="Verdana" w:hAnsi="Verdana"/>
          <w:color w:val="000000" w:themeColor="text1"/>
          <w:sz w:val="20"/>
          <w:szCs w:val="20"/>
        </w:rPr>
        <w:t xml:space="preserve"> </w:t>
      </w:r>
      <w:r w:rsidRPr="001B456A">
        <w:rPr>
          <w:rFonts w:ascii="Verdana" w:hAnsi="Verdana"/>
          <w:color w:val="000000" w:themeColor="text1"/>
          <w:sz w:val="20"/>
          <w:szCs w:val="20"/>
        </w:rPr>
        <w:t xml:space="preserve">di </w:t>
      </w:r>
      <w:r w:rsidRPr="00D5086B">
        <w:rPr>
          <w:rFonts w:ascii="Verdana" w:hAnsi="Verdana"/>
          <w:sz w:val="20"/>
          <w:szCs w:val="20"/>
        </w:rPr>
        <w:t>confermare o meno il preventivo di spesa sulla scorta del quale è stato assunto l’impegno o</w:t>
      </w:r>
      <w:r>
        <w:rPr>
          <w:rFonts w:ascii="Verdana" w:hAnsi="Verdana"/>
          <w:sz w:val="20"/>
          <w:szCs w:val="20"/>
        </w:rPr>
        <w:t>riginario, in modo da assicurarne la relativa</w:t>
      </w:r>
      <w:r w:rsidRPr="00D5086B">
        <w:rPr>
          <w:rFonts w:ascii="Verdana" w:hAnsi="Verdana"/>
          <w:sz w:val="20"/>
          <w:szCs w:val="20"/>
        </w:rPr>
        <w:t xml:space="preserve"> copertura</w:t>
      </w:r>
      <w:r w:rsidRPr="00D5086B">
        <w:rPr>
          <w:rStyle w:val="Rimandonotaapidipagina"/>
          <w:rFonts w:ascii="Verdana" w:hAnsi="Verdana"/>
          <w:sz w:val="20"/>
          <w:szCs w:val="20"/>
        </w:rPr>
        <w:footnoteReference w:id="4"/>
      </w:r>
      <w:r w:rsidRPr="00D5086B">
        <w:rPr>
          <w:rFonts w:ascii="Verdana" w:hAnsi="Verdana"/>
          <w:sz w:val="20"/>
          <w:szCs w:val="20"/>
        </w:rPr>
        <w:t>. Peraltro, il generale principio di economicità dell’azione amministrativa è ora esplicitamente richiamato dall’art. 4 del d. lgs. n. 50/2016.</w:t>
      </w:r>
    </w:p>
    <w:p w:rsidR="000133D0" w:rsidRDefault="000133D0" w:rsidP="000133D0">
      <w:pPr>
        <w:spacing w:line="360" w:lineRule="auto"/>
        <w:ind w:firstLine="709"/>
        <w:jc w:val="both"/>
        <w:rPr>
          <w:rFonts w:ascii="Verdana" w:hAnsi="Verdana"/>
          <w:sz w:val="20"/>
          <w:szCs w:val="20"/>
        </w:rPr>
      </w:pPr>
      <w:r>
        <w:rPr>
          <w:rFonts w:ascii="Verdana" w:hAnsi="Verdana"/>
          <w:sz w:val="20"/>
          <w:szCs w:val="20"/>
        </w:rPr>
        <w:t>Per quanto sopra esposto, la Sezione</w:t>
      </w:r>
    </w:p>
    <w:p w:rsidR="000133D0" w:rsidRPr="00F52043" w:rsidRDefault="000133D0" w:rsidP="00052327">
      <w:pPr>
        <w:spacing w:before="120" w:after="120" w:line="360" w:lineRule="auto"/>
        <w:jc w:val="center"/>
        <w:rPr>
          <w:rFonts w:ascii="Verdana" w:hAnsi="Verdana"/>
          <w:b/>
          <w:sz w:val="20"/>
          <w:szCs w:val="20"/>
        </w:rPr>
      </w:pPr>
      <w:r w:rsidRPr="00F52043">
        <w:rPr>
          <w:rFonts w:ascii="Verdana" w:hAnsi="Verdana"/>
          <w:b/>
          <w:sz w:val="20"/>
          <w:szCs w:val="20"/>
        </w:rPr>
        <w:lastRenderedPageBreak/>
        <w:t>INVITA L’ENTE</w:t>
      </w:r>
    </w:p>
    <w:p w:rsidR="000133D0" w:rsidRPr="00F52043" w:rsidRDefault="000133D0" w:rsidP="000133D0">
      <w:pPr>
        <w:spacing w:line="360" w:lineRule="auto"/>
        <w:ind w:firstLine="709"/>
        <w:jc w:val="both"/>
        <w:rPr>
          <w:rFonts w:ascii="Verdana" w:hAnsi="Verdana"/>
          <w:sz w:val="20"/>
          <w:szCs w:val="20"/>
        </w:rPr>
      </w:pPr>
      <w:r w:rsidRPr="00F52043">
        <w:rPr>
          <w:rFonts w:ascii="Verdana" w:hAnsi="Verdana"/>
          <w:sz w:val="20"/>
          <w:szCs w:val="20"/>
        </w:rPr>
        <w:t>al rispetto della normativa e dei principi richiamati nell’affidamento di incarichi legali</w:t>
      </w:r>
      <w:r w:rsidR="00D44E55">
        <w:rPr>
          <w:rFonts w:ascii="Verdana" w:hAnsi="Verdana"/>
          <w:sz w:val="20"/>
          <w:szCs w:val="20"/>
        </w:rPr>
        <w:t xml:space="preserve">, con particolare riferimento alla necessità di valutare, caso per caso e con la massima attenzione, l’opportunità e la convenienza economica di ricorrere a domiciliazioni  legali, anche se congiunte al mandato di rappresentanza in giudizio.  </w:t>
      </w:r>
    </w:p>
    <w:p w:rsidR="000133D0" w:rsidRPr="00F52043" w:rsidRDefault="000133D0" w:rsidP="00052327">
      <w:pPr>
        <w:spacing w:before="120" w:after="120" w:line="360" w:lineRule="auto"/>
        <w:jc w:val="center"/>
        <w:rPr>
          <w:rFonts w:ascii="Verdana" w:hAnsi="Verdana"/>
          <w:b/>
          <w:sz w:val="20"/>
          <w:szCs w:val="20"/>
        </w:rPr>
      </w:pPr>
      <w:r w:rsidRPr="00F52043">
        <w:rPr>
          <w:rFonts w:ascii="Verdana" w:hAnsi="Verdana"/>
          <w:b/>
          <w:sz w:val="20"/>
          <w:szCs w:val="20"/>
        </w:rPr>
        <w:t>INVITA L’ORGANO DI REVISIONE</w:t>
      </w:r>
    </w:p>
    <w:p w:rsidR="000133D0" w:rsidRPr="00F52043" w:rsidRDefault="000133D0" w:rsidP="000133D0">
      <w:pPr>
        <w:spacing w:line="360" w:lineRule="auto"/>
        <w:ind w:firstLine="709"/>
        <w:jc w:val="both"/>
        <w:rPr>
          <w:rFonts w:ascii="Verdana" w:hAnsi="Verdana"/>
          <w:sz w:val="20"/>
          <w:szCs w:val="20"/>
        </w:rPr>
      </w:pPr>
      <w:r w:rsidRPr="00F52043">
        <w:rPr>
          <w:rFonts w:ascii="Verdana" w:hAnsi="Verdana"/>
          <w:sz w:val="20"/>
          <w:szCs w:val="20"/>
        </w:rPr>
        <w:t>a vigilare sulla legittimità dell’azione dell’ente nell’affidamento di incarichi legali;</w:t>
      </w:r>
    </w:p>
    <w:p w:rsidR="000133D0" w:rsidRPr="00F52043" w:rsidRDefault="000133D0" w:rsidP="00052327">
      <w:pPr>
        <w:pStyle w:val="Corpodeltesto"/>
        <w:widowControl w:val="0"/>
        <w:spacing w:before="120" w:line="360" w:lineRule="auto"/>
        <w:jc w:val="center"/>
        <w:rPr>
          <w:rFonts w:ascii="Verdana" w:hAnsi="Verdana"/>
          <w:b/>
          <w:sz w:val="20"/>
        </w:rPr>
      </w:pPr>
      <w:r>
        <w:rPr>
          <w:rFonts w:ascii="Verdana" w:hAnsi="Verdana"/>
          <w:b/>
          <w:sz w:val="20"/>
        </w:rPr>
        <w:t>DISPONE</w:t>
      </w:r>
    </w:p>
    <w:p w:rsidR="000133D0" w:rsidRPr="00F52043" w:rsidRDefault="000133D0" w:rsidP="00052327">
      <w:pPr>
        <w:pStyle w:val="Corpodeltesto"/>
        <w:widowControl w:val="0"/>
        <w:spacing w:after="0" w:line="360" w:lineRule="auto"/>
        <w:ind w:firstLine="709"/>
        <w:jc w:val="both"/>
        <w:rPr>
          <w:rFonts w:ascii="Verdana" w:hAnsi="Verdana"/>
          <w:sz w:val="20"/>
        </w:rPr>
      </w:pPr>
      <w:r>
        <w:rPr>
          <w:rFonts w:ascii="Verdana" w:hAnsi="Verdana"/>
          <w:sz w:val="20"/>
        </w:rPr>
        <w:t>c</w:t>
      </w:r>
      <w:r w:rsidRPr="00F52043">
        <w:rPr>
          <w:rFonts w:ascii="Verdana" w:hAnsi="Verdana"/>
          <w:sz w:val="20"/>
        </w:rPr>
        <w:t>he la deliberazione sia trasmessa - mediante posta elettronica certificata – al Consiglio comunale di</w:t>
      </w:r>
      <w:r>
        <w:rPr>
          <w:rFonts w:ascii="Verdana" w:hAnsi="Verdana"/>
          <w:sz w:val="20"/>
        </w:rPr>
        <w:t xml:space="preserve"> </w:t>
      </w:r>
      <w:r w:rsidR="00DF17A1">
        <w:rPr>
          <w:rFonts w:ascii="Verdana" w:hAnsi="Verdana"/>
          <w:sz w:val="20"/>
        </w:rPr>
        <w:t>Ferrara</w:t>
      </w:r>
      <w:r>
        <w:rPr>
          <w:rFonts w:ascii="Verdana" w:hAnsi="Verdana"/>
          <w:sz w:val="20"/>
        </w:rPr>
        <w:t xml:space="preserve"> </w:t>
      </w:r>
      <w:r w:rsidRPr="00F52043">
        <w:rPr>
          <w:rFonts w:ascii="Verdana" w:hAnsi="Verdana"/>
          <w:sz w:val="20"/>
        </w:rPr>
        <w:t>e al rispettivo Sindaco, nonché all’Organo di revisione;</w:t>
      </w:r>
    </w:p>
    <w:p w:rsidR="000133D0" w:rsidRPr="00F52043" w:rsidRDefault="000133D0" w:rsidP="00052327">
      <w:pPr>
        <w:pStyle w:val="Corpodeltesto"/>
        <w:widowControl w:val="0"/>
        <w:spacing w:after="0" w:line="360" w:lineRule="auto"/>
        <w:ind w:firstLine="709"/>
        <w:jc w:val="both"/>
        <w:rPr>
          <w:rFonts w:ascii="Verdana" w:hAnsi="Verdana"/>
          <w:sz w:val="20"/>
        </w:rPr>
      </w:pPr>
      <w:r w:rsidRPr="00F52043">
        <w:rPr>
          <w:rFonts w:ascii="Verdana" w:hAnsi="Verdana"/>
          <w:sz w:val="20"/>
        </w:rPr>
        <w:t>che la stessa sia pubblicata sul sito internet istituzionale della Corte dei conti – banca dati del controllo;</w:t>
      </w:r>
    </w:p>
    <w:p w:rsidR="000133D0" w:rsidRPr="00F52043" w:rsidRDefault="000133D0" w:rsidP="00052327">
      <w:pPr>
        <w:pStyle w:val="Corpodeltesto"/>
        <w:widowControl w:val="0"/>
        <w:spacing w:after="0" w:line="360" w:lineRule="auto"/>
        <w:ind w:firstLine="709"/>
        <w:jc w:val="both"/>
        <w:rPr>
          <w:rFonts w:ascii="Verdana" w:hAnsi="Verdana"/>
          <w:sz w:val="20"/>
        </w:rPr>
      </w:pPr>
      <w:r w:rsidRPr="00F52043">
        <w:rPr>
          <w:rFonts w:ascii="Verdana" w:hAnsi="Verdana"/>
          <w:sz w:val="20"/>
        </w:rPr>
        <w:t>che l’originale resti depositato presso la segreteria di questa Sezione regionale di controllo.</w:t>
      </w:r>
    </w:p>
    <w:p w:rsidR="000133D0" w:rsidRPr="00F52043" w:rsidRDefault="000133D0" w:rsidP="00052327">
      <w:pPr>
        <w:pStyle w:val="Corpodeltesto"/>
        <w:widowControl w:val="0"/>
        <w:spacing w:line="360" w:lineRule="auto"/>
        <w:ind w:firstLine="709"/>
        <w:rPr>
          <w:rFonts w:ascii="Verdana" w:hAnsi="Verdana"/>
          <w:sz w:val="20"/>
        </w:rPr>
      </w:pPr>
      <w:r w:rsidRPr="00F52043">
        <w:rPr>
          <w:rFonts w:ascii="Verdana" w:hAnsi="Verdana"/>
          <w:sz w:val="20"/>
        </w:rPr>
        <w:t>Rammenta l’obbligo di pubblicazione della deliberazione sul sito internet istituzionale, ai sensi degli articoli 2 e 31 del d.lgs. 14 marzo 2013, n. 33.</w:t>
      </w:r>
    </w:p>
    <w:p w:rsidR="000133D0" w:rsidRPr="00F52043" w:rsidRDefault="000133D0" w:rsidP="000133D0">
      <w:pPr>
        <w:pStyle w:val="Corpodeltesto"/>
        <w:widowControl w:val="0"/>
        <w:spacing w:line="360" w:lineRule="auto"/>
        <w:ind w:firstLine="720"/>
        <w:rPr>
          <w:rFonts w:ascii="Verdana" w:hAnsi="Verdana"/>
          <w:sz w:val="20"/>
        </w:rPr>
      </w:pPr>
      <w:r w:rsidRPr="00F52043">
        <w:rPr>
          <w:rFonts w:ascii="Verdana" w:hAnsi="Verdana"/>
          <w:sz w:val="20"/>
        </w:rPr>
        <w:t xml:space="preserve">Così deciso in Bologna, nell’adunanza del </w:t>
      </w:r>
      <w:r w:rsidR="00DF17A1">
        <w:rPr>
          <w:rFonts w:ascii="Verdana" w:hAnsi="Verdana"/>
          <w:sz w:val="20"/>
        </w:rPr>
        <w:t>9 maggio</w:t>
      </w:r>
      <w:r w:rsidRPr="00F52043">
        <w:rPr>
          <w:rFonts w:ascii="Verdana" w:hAnsi="Verdana"/>
          <w:sz w:val="20"/>
        </w:rPr>
        <w:t xml:space="preserve"> 2017.</w:t>
      </w:r>
    </w:p>
    <w:p w:rsidR="00052327" w:rsidRDefault="00052327" w:rsidP="000133D0">
      <w:pPr>
        <w:pStyle w:val="Corpodeltesto"/>
        <w:widowControl w:val="0"/>
        <w:spacing w:line="360" w:lineRule="auto"/>
        <w:jc w:val="right"/>
        <w:rPr>
          <w:rFonts w:ascii="Verdana" w:hAnsi="Verdana"/>
          <w:sz w:val="20"/>
        </w:rPr>
      </w:pPr>
      <w:r>
        <w:rPr>
          <w:rFonts w:ascii="Verdana" w:hAnsi="Verdana"/>
          <w:sz w:val="20"/>
        </w:rPr>
        <w:t xml:space="preserve">       </w:t>
      </w:r>
    </w:p>
    <w:p w:rsidR="000133D0" w:rsidRPr="00F52043" w:rsidRDefault="00052327" w:rsidP="00052327">
      <w:pPr>
        <w:pStyle w:val="Corpodeltesto"/>
        <w:widowControl w:val="0"/>
        <w:spacing w:line="360" w:lineRule="auto"/>
        <w:jc w:val="center"/>
        <w:rPr>
          <w:rFonts w:ascii="Verdana" w:hAnsi="Verdana"/>
          <w:sz w:val="20"/>
        </w:rPr>
      </w:pPr>
      <w:r>
        <w:rPr>
          <w:rFonts w:ascii="Verdana" w:hAnsi="Verdana"/>
          <w:sz w:val="20"/>
        </w:rPr>
        <w:t xml:space="preserve">                                                                </w:t>
      </w:r>
      <w:r w:rsidR="00382DDC">
        <w:rPr>
          <w:rFonts w:ascii="Verdana" w:hAnsi="Verdana"/>
          <w:sz w:val="20"/>
        </w:rPr>
        <w:t xml:space="preserve">                         </w:t>
      </w:r>
      <w:r w:rsidR="00267ABD">
        <w:rPr>
          <w:rFonts w:ascii="Verdana" w:hAnsi="Verdana"/>
          <w:sz w:val="20"/>
        </w:rPr>
        <w:t xml:space="preserve">     </w:t>
      </w:r>
      <w:r w:rsidR="00382DDC">
        <w:rPr>
          <w:rFonts w:ascii="Verdana" w:hAnsi="Verdana"/>
          <w:sz w:val="20"/>
        </w:rPr>
        <w:t xml:space="preserve"> </w:t>
      </w:r>
      <w:r w:rsidR="000133D0" w:rsidRPr="00F52043">
        <w:rPr>
          <w:rFonts w:ascii="Verdana" w:hAnsi="Verdana"/>
          <w:sz w:val="20"/>
        </w:rPr>
        <w:t xml:space="preserve">Il presidente </w:t>
      </w:r>
    </w:p>
    <w:p w:rsidR="000133D0" w:rsidRPr="00F52043" w:rsidRDefault="00513671" w:rsidP="000133D0">
      <w:pPr>
        <w:pStyle w:val="Corpodeltesto"/>
        <w:widowControl w:val="0"/>
        <w:spacing w:line="360" w:lineRule="auto"/>
        <w:jc w:val="right"/>
        <w:rPr>
          <w:rFonts w:ascii="Verdana" w:hAnsi="Verdana"/>
          <w:sz w:val="20"/>
        </w:rPr>
      </w:pPr>
      <w:r>
        <w:rPr>
          <w:rFonts w:ascii="Verdana" w:hAnsi="Verdana"/>
          <w:i/>
          <w:sz w:val="20"/>
        </w:rPr>
        <w:t xml:space="preserve">f.to </w:t>
      </w:r>
      <w:r w:rsidR="000133D0" w:rsidRPr="00F52043">
        <w:rPr>
          <w:rFonts w:ascii="Verdana" w:hAnsi="Verdana"/>
          <w:i/>
          <w:sz w:val="20"/>
        </w:rPr>
        <w:t>(Carlo Greco)</w:t>
      </w:r>
    </w:p>
    <w:p w:rsidR="000133D0" w:rsidRPr="00F52043" w:rsidRDefault="000133D0" w:rsidP="000133D0">
      <w:pPr>
        <w:pStyle w:val="Corpodeltesto"/>
        <w:widowControl w:val="0"/>
        <w:spacing w:line="360" w:lineRule="auto"/>
        <w:ind w:firstLine="708"/>
        <w:rPr>
          <w:rFonts w:ascii="Verdana" w:hAnsi="Verdana"/>
          <w:sz w:val="20"/>
        </w:rPr>
      </w:pPr>
      <w:r w:rsidRPr="00F52043">
        <w:rPr>
          <w:rFonts w:ascii="Verdana" w:hAnsi="Verdana"/>
          <w:sz w:val="20"/>
        </w:rPr>
        <w:t xml:space="preserve">       </w:t>
      </w:r>
      <w:r w:rsidR="00382DDC">
        <w:rPr>
          <w:rFonts w:ascii="Verdana" w:hAnsi="Verdana"/>
          <w:sz w:val="20"/>
        </w:rPr>
        <w:t xml:space="preserve">   </w:t>
      </w:r>
      <w:r w:rsidR="00513671">
        <w:rPr>
          <w:rFonts w:ascii="Verdana" w:hAnsi="Verdana"/>
          <w:sz w:val="20"/>
        </w:rPr>
        <w:t xml:space="preserve">    </w:t>
      </w:r>
      <w:r w:rsidRPr="00F52043">
        <w:rPr>
          <w:rFonts w:ascii="Verdana" w:hAnsi="Verdana"/>
          <w:sz w:val="20"/>
        </w:rPr>
        <w:t>Il relatore</w:t>
      </w:r>
    </w:p>
    <w:p w:rsidR="000133D0" w:rsidRPr="00F52043" w:rsidRDefault="00267ABD" w:rsidP="000133D0">
      <w:pPr>
        <w:pStyle w:val="Corpodeltesto"/>
        <w:widowControl w:val="0"/>
        <w:spacing w:line="360" w:lineRule="auto"/>
        <w:ind w:firstLine="900"/>
        <w:rPr>
          <w:rFonts w:ascii="Verdana" w:hAnsi="Verdana"/>
          <w:i/>
          <w:sz w:val="20"/>
        </w:rPr>
      </w:pPr>
      <w:r>
        <w:rPr>
          <w:rFonts w:ascii="Verdana" w:hAnsi="Verdana"/>
          <w:i/>
          <w:sz w:val="20"/>
        </w:rPr>
        <w:t xml:space="preserve">  </w:t>
      </w:r>
      <w:r w:rsidR="00513671">
        <w:rPr>
          <w:rFonts w:ascii="Verdana" w:hAnsi="Verdana"/>
          <w:i/>
          <w:sz w:val="20"/>
        </w:rPr>
        <w:t xml:space="preserve">f.to </w:t>
      </w:r>
      <w:r w:rsidR="000133D0" w:rsidRPr="00F52043">
        <w:rPr>
          <w:rFonts w:ascii="Verdana" w:hAnsi="Verdana"/>
          <w:i/>
          <w:sz w:val="20"/>
        </w:rPr>
        <w:t>(</w:t>
      </w:r>
      <w:r w:rsidR="00DF17A1">
        <w:rPr>
          <w:rFonts w:ascii="Verdana" w:hAnsi="Verdana"/>
          <w:i/>
          <w:sz w:val="20"/>
        </w:rPr>
        <w:t>Federico Lorenzini</w:t>
      </w:r>
      <w:r w:rsidR="000133D0" w:rsidRPr="00F52043">
        <w:rPr>
          <w:rFonts w:ascii="Verdana" w:hAnsi="Verdana"/>
          <w:i/>
          <w:sz w:val="20"/>
        </w:rPr>
        <w:t>)</w:t>
      </w:r>
    </w:p>
    <w:p w:rsidR="000133D0" w:rsidRDefault="000133D0" w:rsidP="000133D0">
      <w:pPr>
        <w:pStyle w:val="Corpodeltesto"/>
        <w:widowControl w:val="0"/>
        <w:spacing w:line="360" w:lineRule="auto"/>
        <w:ind w:firstLine="720"/>
        <w:rPr>
          <w:rFonts w:ascii="Verdana" w:hAnsi="Verdana"/>
          <w:sz w:val="20"/>
        </w:rPr>
      </w:pPr>
    </w:p>
    <w:p w:rsidR="005E56AE" w:rsidRDefault="005E56AE" w:rsidP="000133D0">
      <w:pPr>
        <w:pStyle w:val="Corpodeltesto"/>
        <w:widowControl w:val="0"/>
        <w:spacing w:line="360" w:lineRule="auto"/>
        <w:ind w:firstLine="720"/>
        <w:rPr>
          <w:rFonts w:ascii="Verdana" w:hAnsi="Verdana"/>
          <w:sz w:val="20"/>
        </w:rPr>
      </w:pPr>
    </w:p>
    <w:p w:rsidR="005E56AE" w:rsidRPr="00F52043" w:rsidRDefault="005E56AE" w:rsidP="000133D0">
      <w:pPr>
        <w:pStyle w:val="Corpodeltesto"/>
        <w:widowControl w:val="0"/>
        <w:spacing w:line="360" w:lineRule="auto"/>
        <w:ind w:firstLine="720"/>
        <w:rPr>
          <w:rFonts w:ascii="Verdana" w:hAnsi="Verdana"/>
          <w:sz w:val="20"/>
        </w:rPr>
      </w:pPr>
    </w:p>
    <w:p w:rsidR="00641BA7" w:rsidRPr="00F52043" w:rsidRDefault="006076E1" w:rsidP="00641BA7">
      <w:pPr>
        <w:pStyle w:val="Corpodeltesto"/>
        <w:widowControl w:val="0"/>
        <w:spacing w:line="360" w:lineRule="auto"/>
        <w:ind w:firstLine="708"/>
        <w:rPr>
          <w:rFonts w:ascii="Verdana" w:hAnsi="Verdana"/>
          <w:sz w:val="20"/>
        </w:rPr>
      </w:pPr>
      <w:r>
        <w:rPr>
          <w:rFonts w:ascii="Verdana" w:hAnsi="Verdana"/>
          <w:sz w:val="20"/>
        </w:rPr>
        <w:t xml:space="preserve">Depositata in segreteria il </w:t>
      </w:r>
      <w:r w:rsidR="006D0370">
        <w:rPr>
          <w:rFonts w:ascii="Verdana" w:hAnsi="Verdana"/>
          <w:sz w:val="20"/>
        </w:rPr>
        <w:t>9 maggio</w:t>
      </w:r>
      <w:r>
        <w:rPr>
          <w:rFonts w:ascii="Verdana" w:hAnsi="Verdana"/>
          <w:sz w:val="20"/>
        </w:rPr>
        <w:t xml:space="preserve"> </w:t>
      </w:r>
      <w:r w:rsidRPr="00F52043">
        <w:rPr>
          <w:rFonts w:ascii="Verdana" w:hAnsi="Verdana"/>
          <w:sz w:val="20"/>
        </w:rPr>
        <w:t>2017</w:t>
      </w:r>
    </w:p>
    <w:p w:rsidR="00641BA7" w:rsidRPr="00F52043" w:rsidRDefault="006076E1" w:rsidP="00641BA7">
      <w:pPr>
        <w:pStyle w:val="Corpodeltesto"/>
        <w:widowControl w:val="0"/>
        <w:spacing w:line="360" w:lineRule="auto"/>
        <w:ind w:left="708" w:firstLine="708"/>
        <w:rPr>
          <w:rFonts w:ascii="Verdana" w:hAnsi="Verdana"/>
          <w:sz w:val="20"/>
        </w:rPr>
      </w:pPr>
      <w:r>
        <w:rPr>
          <w:rFonts w:ascii="Verdana" w:hAnsi="Verdana"/>
          <w:sz w:val="20"/>
        </w:rPr>
        <w:t xml:space="preserve"> </w:t>
      </w:r>
      <w:r w:rsidR="006D0370">
        <w:rPr>
          <w:rFonts w:ascii="Verdana" w:hAnsi="Verdana"/>
          <w:sz w:val="20"/>
        </w:rPr>
        <w:t>I</w:t>
      </w:r>
      <w:r w:rsidR="00641BA7" w:rsidRPr="00F52043">
        <w:rPr>
          <w:rFonts w:ascii="Verdana" w:hAnsi="Verdana"/>
          <w:sz w:val="20"/>
        </w:rPr>
        <w:t>l direttore di segreteria</w:t>
      </w:r>
    </w:p>
    <w:p w:rsidR="00FC1536" w:rsidRPr="00FC1536" w:rsidRDefault="00641BA7" w:rsidP="00FC1536">
      <w:pPr>
        <w:pStyle w:val="Corpodeltesto"/>
        <w:widowControl w:val="0"/>
        <w:spacing w:line="360" w:lineRule="auto"/>
        <w:ind w:left="708" w:firstLine="708"/>
        <w:rPr>
          <w:rFonts w:ascii="Verdana" w:hAnsi="Verdana"/>
          <w:sz w:val="20"/>
        </w:rPr>
      </w:pPr>
      <w:r w:rsidRPr="00F52043">
        <w:rPr>
          <w:rFonts w:ascii="Verdana" w:hAnsi="Verdana"/>
          <w:sz w:val="20"/>
        </w:rPr>
        <w:t xml:space="preserve"> </w:t>
      </w:r>
      <w:r w:rsidR="00382DDC">
        <w:rPr>
          <w:rFonts w:ascii="Verdana" w:hAnsi="Verdana"/>
          <w:sz w:val="20"/>
        </w:rPr>
        <w:t xml:space="preserve"> </w:t>
      </w:r>
      <w:r w:rsidR="00513671">
        <w:rPr>
          <w:rFonts w:ascii="Verdana" w:hAnsi="Verdana"/>
          <w:sz w:val="20"/>
        </w:rPr>
        <w:t>f.to</w:t>
      </w:r>
      <w:bookmarkStart w:id="0" w:name="_GoBack"/>
      <w:bookmarkEnd w:id="0"/>
      <w:r w:rsidR="00267ABD">
        <w:rPr>
          <w:rFonts w:ascii="Verdana" w:hAnsi="Verdana"/>
          <w:sz w:val="20"/>
        </w:rPr>
        <w:t xml:space="preserve"> </w:t>
      </w:r>
      <w:r w:rsidRPr="00F52043">
        <w:rPr>
          <w:rFonts w:ascii="Verdana" w:hAnsi="Verdana"/>
          <w:sz w:val="20"/>
        </w:rPr>
        <w:t>(</w:t>
      </w:r>
      <w:r w:rsidR="006D0370" w:rsidRPr="006D0370">
        <w:rPr>
          <w:rFonts w:ascii="Verdana" w:hAnsi="Verdana"/>
          <w:i/>
          <w:sz w:val="20"/>
        </w:rPr>
        <w:t>Rossella Broccoli</w:t>
      </w:r>
      <w:r w:rsidRPr="00F52043">
        <w:rPr>
          <w:rFonts w:ascii="Verdana" w:hAnsi="Verdana"/>
          <w:sz w:val="20"/>
        </w:rPr>
        <w:t>)</w:t>
      </w:r>
    </w:p>
    <w:sectPr w:rsidR="00FC1536" w:rsidRPr="00FC1536" w:rsidSect="00106618">
      <w:footerReference w:type="default" r:id="rId10"/>
      <w:footerReference w:type="first" r:id="rId11"/>
      <w:pgSz w:w="11906" w:h="16838"/>
      <w:pgMar w:top="1871" w:right="2126" w:bottom="1418" w:left="164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C0E" w:rsidRDefault="004F4C0E" w:rsidP="00334A79">
      <w:r>
        <w:separator/>
      </w:r>
    </w:p>
  </w:endnote>
  <w:endnote w:type="continuationSeparator" w:id="1">
    <w:p w:rsidR="004F4C0E" w:rsidRDefault="004F4C0E" w:rsidP="00334A7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altName w:val="Superclarendon"/>
    <w:panose1 w:val="020706030806060202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UnicodeMS">
    <w:charset w:val="00"/>
    <w:family w:val="auto"/>
    <w:pitch w:val="variable"/>
    <w:sig w:usb0="F7FFAFFF" w:usb1="E9DFFFFF" w:usb2="0000003F" w:usb3="00000000" w:csb0="003F01F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80812"/>
      <w:docPartObj>
        <w:docPartGallery w:val="Page Numbers (Bottom of Page)"/>
        <w:docPartUnique/>
      </w:docPartObj>
    </w:sdtPr>
    <w:sdtEndPr>
      <w:rPr>
        <w:rFonts w:ascii="Verdana" w:hAnsi="Verdana"/>
        <w:sz w:val="20"/>
        <w:szCs w:val="20"/>
      </w:rPr>
    </w:sdtEndPr>
    <w:sdtContent>
      <w:p w:rsidR="00106618" w:rsidRPr="00106618" w:rsidRDefault="00D821EA">
        <w:pPr>
          <w:pStyle w:val="Pidipagina"/>
          <w:jc w:val="center"/>
          <w:rPr>
            <w:rFonts w:ascii="Verdana" w:hAnsi="Verdana"/>
            <w:sz w:val="20"/>
            <w:szCs w:val="20"/>
          </w:rPr>
        </w:pPr>
        <w:r w:rsidRPr="00106618">
          <w:rPr>
            <w:rFonts w:ascii="Verdana" w:hAnsi="Verdana"/>
            <w:sz w:val="20"/>
            <w:szCs w:val="20"/>
          </w:rPr>
          <w:fldChar w:fldCharType="begin"/>
        </w:r>
        <w:r w:rsidR="00106618" w:rsidRPr="00106618">
          <w:rPr>
            <w:rFonts w:ascii="Verdana" w:hAnsi="Verdana"/>
            <w:sz w:val="20"/>
            <w:szCs w:val="20"/>
          </w:rPr>
          <w:instrText>PAGE   \* MERGEFORMAT</w:instrText>
        </w:r>
        <w:r w:rsidRPr="00106618">
          <w:rPr>
            <w:rFonts w:ascii="Verdana" w:hAnsi="Verdana"/>
            <w:sz w:val="20"/>
            <w:szCs w:val="20"/>
          </w:rPr>
          <w:fldChar w:fldCharType="separate"/>
        </w:r>
        <w:r w:rsidR="00EF1FDD">
          <w:rPr>
            <w:rFonts w:ascii="Verdana" w:hAnsi="Verdana"/>
            <w:noProof/>
            <w:sz w:val="20"/>
            <w:szCs w:val="20"/>
          </w:rPr>
          <w:t>2</w:t>
        </w:r>
        <w:r w:rsidRPr="00106618">
          <w:rPr>
            <w:rFonts w:ascii="Verdana" w:hAnsi="Verdana"/>
            <w:sz w:val="20"/>
            <w:szCs w:val="20"/>
          </w:rPr>
          <w:fldChar w:fldCharType="end"/>
        </w:r>
      </w:p>
    </w:sdtContent>
  </w:sdt>
  <w:p w:rsidR="00106618" w:rsidRDefault="0010661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681769"/>
      <w:docPartObj>
        <w:docPartGallery w:val="Page Numbers (Bottom of Page)"/>
        <w:docPartUnique/>
      </w:docPartObj>
    </w:sdtPr>
    <w:sdtContent>
      <w:p w:rsidR="00BD0697" w:rsidRDefault="00D821EA">
        <w:pPr>
          <w:pStyle w:val="Pidipagina"/>
          <w:jc w:val="center"/>
        </w:pPr>
        <w:r>
          <w:fldChar w:fldCharType="begin"/>
        </w:r>
        <w:r w:rsidR="00BD0697">
          <w:instrText>PAGE   \* MERGEFORMAT</w:instrText>
        </w:r>
        <w:r>
          <w:fldChar w:fldCharType="separate"/>
        </w:r>
        <w:r w:rsidR="00EF1FDD">
          <w:rPr>
            <w:noProof/>
          </w:rPr>
          <w:t>1</w:t>
        </w:r>
        <w:r>
          <w:fldChar w:fldCharType="end"/>
        </w:r>
      </w:p>
    </w:sdtContent>
  </w:sdt>
  <w:p w:rsidR="00BD0697" w:rsidRDefault="00BD069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C0E" w:rsidRDefault="004F4C0E" w:rsidP="00334A79">
      <w:r>
        <w:separator/>
      </w:r>
    </w:p>
  </w:footnote>
  <w:footnote w:type="continuationSeparator" w:id="1">
    <w:p w:rsidR="004F4C0E" w:rsidRDefault="004F4C0E" w:rsidP="00334A79">
      <w:r>
        <w:continuationSeparator/>
      </w:r>
    </w:p>
  </w:footnote>
  <w:footnote w:id="2">
    <w:p w:rsidR="00D81786" w:rsidRPr="00713E51" w:rsidRDefault="00D81786" w:rsidP="00D81786">
      <w:pPr>
        <w:pStyle w:val="Testonotaapidipagina"/>
        <w:jc w:val="both"/>
        <w:rPr>
          <w:sz w:val="16"/>
          <w:szCs w:val="16"/>
        </w:rPr>
      </w:pPr>
      <w:r w:rsidRPr="0078308E">
        <w:rPr>
          <w:rStyle w:val="Rimandonotaapidipagina"/>
        </w:rPr>
        <w:footnoteRef/>
      </w:r>
      <w:r w:rsidRPr="0078308E">
        <w:t xml:space="preserve"> </w:t>
      </w:r>
      <w:r w:rsidRPr="0078308E">
        <w:rPr>
          <w:rFonts w:ascii="Verdana" w:hAnsi="Verdana"/>
          <w:sz w:val="16"/>
          <w:szCs w:val="16"/>
        </w:rPr>
        <w:t>Si segnala come sul sito Anac sia attualmente in consultazione, e aperto a eventuali osservazioni che dovranno essere presentate entro il 10 maggio c.a., un documento avente a oggetto l’affidamento dei servizi legali.</w:t>
      </w:r>
    </w:p>
  </w:footnote>
  <w:footnote w:id="3">
    <w:p w:rsidR="00F0538B" w:rsidRDefault="00F0538B" w:rsidP="00F0538B">
      <w:pPr>
        <w:pStyle w:val="Testonotaapidipagina"/>
        <w:jc w:val="both"/>
      </w:pPr>
      <w:r>
        <w:rPr>
          <w:rStyle w:val="Rimandonotaapidipagina"/>
        </w:rPr>
        <w:footnoteRef/>
      </w:r>
      <w:r>
        <w:t xml:space="preserve"> </w:t>
      </w:r>
      <w:r w:rsidRPr="00F0538B">
        <w:rPr>
          <w:rFonts w:ascii="Verdana" w:hAnsi="Verdana"/>
          <w:sz w:val="16"/>
          <w:szCs w:val="16"/>
        </w:rPr>
        <w:t>Conf. la “Relazione sul rendiconto generale della Regione Emilia-Romagna per l’esercizio finanziario 2015”, approvata con delibera n. 66/2016/PARI del 7 luglio 2016.</w:t>
      </w:r>
    </w:p>
  </w:footnote>
  <w:footnote w:id="4">
    <w:p w:rsidR="00F0538B" w:rsidRDefault="00F0538B" w:rsidP="00F0538B">
      <w:pPr>
        <w:pStyle w:val="Testonotaapidipagina"/>
        <w:jc w:val="both"/>
      </w:pPr>
      <w:r w:rsidRPr="00385A5C">
        <w:rPr>
          <w:rStyle w:val="Rimandonotaapidipagina"/>
        </w:rPr>
        <w:footnoteRef/>
      </w:r>
      <w:r w:rsidRPr="00385A5C">
        <w:t xml:space="preserve"> </w:t>
      </w:r>
      <w:r w:rsidRPr="003062CE">
        <w:rPr>
          <w:rFonts w:ascii="Verdana" w:hAnsi="Verdana"/>
          <w:sz w:val="16"/>
          <w:szCs w:val="16"/>
        </w:rPr>
        <w:t>Conf., Corte dei conti, Sezione regionale di controllo per il Veneto, n. 375/2016/PAR del 29 novembre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04D6C"/>
    <w:multiLevelType w:val="hybridMultilevel"/>
    <w:tmpl w:val="381AAF8E"/>
    <w:lvl w:ilvl="0" w:tplc="2D28E00E">
      <w:numFmt w:val="bullet"/>
      <w:lvlText w:val="-"/>
      <w:lvlJc w:val="left"/>
      <w:pPr>
        <w:ind w:left="1141" w:hanging="360"/>
      </w:pPr>
      <w:rPr>
        <w:rFonts w:ascii="Verdana" w:eastAsia="Times New Roman" w:hAnsi="Verdana" w:cs="Times New Roman" w:hint="default"/>
      </w:rPr>
    </w:lvl>
    <w:lvl w:ilvl="1" w:tplc="04100003" w:tentative="1">
      <w:start w:val="1"/>
      <w:numFmt w:val="bullet"/>
      <w:lvlText w:val="o"/>
      <w:lvlJc w:val="left"/>
      <w:pPr>
        <w:ind w:left="1861" w:hanging="360"/>
      </w:pPr>
      <w:rPr>
        <w:rFonts w:ascii="Courier New" w:hAnsi="Courier New" w:cs="Courier New" w:hint="default"/>
      </w:rPr>
    </w:lvl>
    <w:lvl w:ilvl="2" w:tplc="04100005" w:tentative="1">
      <w:start w:val="1"/>
      <w:numFmt w:val="bullet"/>
      <w:lvlText w:val=""/>
      <w:lvlJc w:val="left"/>
      <w:pPr>
        <w:ind w:left="2581" w:hanging="360"/>
      </w:pPr>
      <w:rPr>
        <w:rFonts w:ascii="Wingdings" w:hAnsi="Wingdings" w:hint="default"/>
      </w:rPr>
    </w:lvl>
    <w:lvl w:ilvl="3" w:tplc="04100001" w:tentative="1">
      <w:start w:val="1"/>
      <w:numFmt w:val="bullet"/>
      <w:lvlText w:val=""/>
      <w:lvlJc w:val="left"/>
      <w:pPr>
        <w:ind w:left="3301" w:hanging="360"/>
      </w:pPr>
      <w:rPr>
        <w:rFonts w:ascii="Symbol" w:hAnsi="Symbol" w:hint="default"/>
      </w:rPr>
    </w:lvl>
    <w:lvl w:ilvl="4" w:tplc="04100003" w:tentative="1">
      <w:start w:val="1"/>
      <w:numFmt w:val="bullet"/>
      <w:lvlText w:val="o"/>
      <w:lvlJc w:val="left"/>
      <w:pPr>
        <w:ind w:left="4021" w:hanging="360"/>
      </w:pPr>
      <w:rPr>
        <w:rFonts w:ascii="Courier New" w:hAnsi="Courier New" w:cs="Courier New" w:hint="default"/>
      </w:rPr>
    </w:lvl>
    <w:lvl w:ilvl="5" w:tplc="04100005" w:tentative="1">
      <w:start w:val="1"/>
      <w:numFmt w:val="bullet"/>
      <w:lvlText w:val=""/>
      <w:lvlJc w:val="left"/>
      <w:pPr>
        <w:ind w:left="4741" w:hanging="360"/>
      </w:pPr>
      <w:rPr>
        <w:rFonts w:ascii="Wingdings" w:hAnsi="Wingdings" w:hint="default"/>
      </w:rPr>
    </w:lvl>
    <w:lvl w:ilvl="6" w:tplc="04100001" w:tentative="1">
      <w:start w:val="1"/>
      <w:numFmt w:val="bullet"/>
      <w:lvlText w:val=""/>
      <w:lvlJc w:val="left"/>
      <w:pPr>
        <w:ind w:left="5461" w:hanging="360"/>
      </w:pPr>
      <w:rPr>
        <w:rFonts w:ascii="Symbol" w:hAnsi="Symbol" w:hint="default"/>
      </w:rPr>
    </w:lvl>
    <w:lvl w:ilvl="7" w:tplc="04100003" w:tentative="1">
      <w:start w:val="1"/>
      <w:numFmt w:val="bullet"/>
      <w:lvlText w:val="o"/>
      <w:lvlJc w:val="left"/>
      <w:pPr>
        <w:ind w:left="6181" w:hanging="360"/>
      </w:pPr>
      <w:rPr>
        <w:rFonts w:ascii="Courier New" w:hAnsi="Courier New" w:cs="Courier New" w:hint="default"/>
      </w:rPr>
    </w:lvl>
    <w:lvl w:ilvl="8" w:tplc="04100005" w:tentative="1">
      <w:start w:val="1"/>
      <w:numFmt w:val="bullet"/>
      <w:lvlText w:val=""/>
      <w:lvlJc w:val="left"/>
      <w:pPr>
        <w:ind w:left="6901" w:hanging="360"/>
      </w:pPr>
      <w:rPr>
        <w:rFonts w:ascii="Wingdings" w:hAnsi="Wingdings" w:hint="default"/>
      </w:rPr>
    </w:lvl>
  </w:abstractNum>
  <w:abstractNum w:abstractNumId="1">
    <w:nsid w:val="56E44077"/>
    <w:multiLevelType w:val="hybridMultilevel"/>
    <w:tmpl w:val="56D209A0"/>
    <w:lvl w:ilvl="0" w:tplc="1922803E">
      <w:start w:val="16"/>
      <w:numFmt w:val="bullet"/>
      <w:lvlText w:val="-"/>
      <w:lvlJc w:val="left"/>
      <w:pPr>
        <w:ind w:left="927" w:hanging="360"/>
      </w:pPr>
      <w:rPr>
        <w:rFonts w:ascii="Verdana" w:eastAsia="Times New Roman" w:hAnsi="Verdana"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CE0EA4"/>
    <w:rsid w:val="000023CD"/>
    <w:rsid w:val="00003745"/>
    <w:rsid w:val="00005A7D"/>
    <w:rsid w:val="000133D0"/>
    <w:rsid w:val="00015621"/>
    <w:rsid w:val="000268B5"/>
    <w:rsid w:val="00031833"/>
    <w:rsid w:val="00033992"/>
    <w:rsid w:val="00035579"/>
    <w:rsid w:val="00035E4D"/>
    <w:rsid w:val="00036061"/>
    <w:rsid w:val="00036C59"/>
    <w:rsid w:val="000417CC"/>
    <w:rsid w:val="0004508B"/>
    <w:rsid w:val="00052327"/>
    <w:rsid w:val="00055182"/>
    <w:rsid w:val="0005652F"/>
    <w:rsid w:val="00067508"/>
    <w:rsid w:val="00067702"/>
    <w:rsid w:val="00073D5C"/>
    <w:rsid w:val="00092EB3"/>
    <w:rsid w:val="00093739"/>
    <w:rsid w:val="000A1294"/>
    <w:rsid w:val="000A2A65"/>
    <w:rsid w:val="000B2506"/>
    <w:rsid w:val="000B3A76"/>
    <w:rsid w:val="000C1CC1"/>
    <w:rsid w:val="000C6E98"/>
    <w:rsid w:val="000D09CB"/>
    <w:rsid w:val="000D54D4"/>
    <w:rsid w:val="000F1685"/>
    <w:rsid w:val="000F70FF"/>
    <w:rsid w:val="00104C27"/>
    <w:rsid w:val="00106618"/>
    <w:rsid w:val="00114942"/>
    <w:rsid w:val="00120808"/>
    <w:rsid w:val="00121558"/>
    <w:rsid w:val="0013590B"/>
    <w:rsid w:val="00143A80"/>
    <w:rsid w:val="00152514"/>
    <w:rsid w:val="00157EEE"/>
    <w:rsid w:val="00161596"/>
    <w:rsid w:val="00162D31"/>
    <w:rsid w:val="00163E46"/>
    <w:rsid w:val="00186AE3"/>
    <w:rsid w:val="001979A6"/>
    <w:rsid w:val="00197DAA"/>
    <w:rsid w:val="001A2DC2"/>
    <w:rsid w:val="001A343B"/>
    <w:rsid w:val="001B456A"/>
    <w:rsid w:val="001C0E46"/>
    <w:rsid w:val="001C3A51"/>
    <w:rsid w:val="001C7DF2"/>
    <w:rsid w:val="001E3A6B"/>
    <w:rsid w:val="001F6676"/>
    <w:rsid w:val="001F72A1"/>
    <w:rsid w:val="002022B0"/>
    <w:rsid w:val="002177EF"/>
    <w:rsid w:val="002245C5"/>
    <w:rsid w:val="002253F0"/>
    <w:rsid w:val="00227B9D"/>
    <w:rsid w:val="00240F05"/>
    <w:rsid w:val="002667CD"/>
    <w:rsid w:val="00267ABD"/>
    <w:rsid w:val="00270F35"/>
    <w:rsid w:val="00276E40"/>
    <w:rsid w:val="00290BEF"/>
    <w:rsid w:val="00290DE8"/>
    <w:rsid w:val="002A2CA0"/>
    <w:rsid w:val="002A4FD8"/>
    <w:rsid w:val="002A6AC1"/>
    <w:rsid w:val="002B1A26"/>
    <w:rsid w:val="002C0EB6"/>
    <w:rsid w:val="002C1BB1"/>
    <w:rsid w:val="002C7BA4"/>
    <w:rsid w:val="002D09A7"/>
    <w:rsid w:val="002D4C7C"/>
    <w:rsid w:val="00300FB8"/>
    <w:rsid w:val="003062CE"/>
    <w:rsid w:val="00312803"/>
    <w:rsid w:val="00322555"/>
    <w:rsid w:val="00326808"/>
    <w:rsid w:val="00326B43"/>
    <w:rsid w:val="00326C77"/>
    <w:rsid w:val="00333AA4"/>
    <w:rsid w:val="00334A79"/>
    <w:rsid w:val="00341231"/>
    <w:rsid w:val="00342302"/>
    <w:rsid w:val="003451D4"/>
    <w:rsid w:val="00357EA0"/>
    <w:rsid w:val="00366160"/>
    <w:rsid w:val="00367610"/>
    <w:rsid w:val="00370E1E"/>
    <w:rsid w:val="00372CEA"/>
    <w:rsid w:val="00375A6B"/>
    <w:rsid w:val="0038033C"/>
    <w:rsid w:val="00382DDC"/>
    <w:rsid w:val="003836FF"/>
    <w:rsid w:val="003968C0"/>
    <w:rsid w:val="003B7172"/>
    <w:rsid w:val="003B7FFC"/>
    <w:rsid w:val="003D0323"/>
    <w:rsid w:val="003D0A09"/>
    <w:rsid w:val="003D728A"/>
    <w:rsid w:val="00400BBD"/>
    <w:rsid w:val="004046AC"/>
    <w:rsid w:val="00407043"/>
    <w:rsid w:val="0041018C"/>
    <w:rsid w:val="0041058A"/>
    <w:rsid w:val="00426D3E"/>
    <w:rsid w:val="004279C6"/>
    <w:rsid w:val="00427B4A"/>
    <w:rsid w:val="004341E9"/>
    <w:rsid w:val="004377D9"/>
    <w:rsid w:val="004404DF"/>
    <w:rsid w:val="0044585D"/>
    <w:rsid w:val="00454621"/>
    <w:rsid w:val="00475631"/>
    <w:rsid w:val="004927A4"/>
    <w:rsid w:val="00494743"/>
    <w:rsid w:val="00497AB1"/>
    <w:rsid w:val="004A0C63"/>
    <w:rsid w:val="004A6034"/>
    <w:rsid w:val="004C58EA"/>
    <w:rsid w:val="004D42D8"/>
    <w:rsid w:val="004F4C0E"/>
    <w:rsid w:val="00504C67"/>
    <w:rsid w:val="00513671"/>
    <w:rsid w:val="00514177"/>
    <w:rsid w:val="00537A93"/>
    <w:rsid w:val="00542AD0"/>
    <w:rsid w:val="00543A6D"/>
    <w:rsid w:val="005728D0"/>
    <w:rsid w:val="00574236"/>
    <w:rsid w:val="00581CD8"/>
    <w:rsid w:val="005840A5"/>
    <w:rsid w:val="0059042F"/>
    <w:rsid w:val="0059582E"/>
    <w:rsid w:val="005A3AF8"/>
    <w:rsid w:val="005C1181"/>
    <w:rsid w:val="005C7C03"/>
    <w:rsid w:val="005E56AE"/>
    <w:rsid w:val="00605BE7"/>
    <w:rsid w:val="00607699"/>
    <w:rsid w:val="006076E1"/>
    <w:rsid w:val="006159C6"/>
    <w:rsid w:val="00623F3A"/>
    <w:rsid w:val="00631777"/>
    <w:rsid w:val="00641BA7"/>
    <w:rsid w:val="0065083A"/>
    <w:rsid w:val="00667BFA"/>
    <w:rsid w:val="00683ED2"/>
    <w:rsid w:val="00685129"/>
    <w:rsid w:val="006A79C0"/>
    <w:rsid w:val="006B0CEC"/>
    <w:rsid w:val="006B26F0"/>
    <w:rsid w:val="006B2F4B"/>
    <w:rsid w:val="006B511E"/>
    <w:rsid w:val="006D0370"/>
    <w:rsid w:val="006D0EC4"/>
    <w:rsid w:val="006D19C0"/>
    <w:rsid w:val="006D315D"/>
    <w:rsid w:val="006D4D88"/>
    <w:rsid w:val="006E7FC9"/>
    <w:rsid w:val="00706CB2"/>
    <w:rsid w:val="007136CE"/>
    <w:rsid w:val="00713B1F"/>
    <w:rsid w:val="0072372B"/>
    <w:rsid w:val="00732078"/>
    <w:rsid w:val="0076405E"/>
    <w:rsid w:val="00764DEE"/>
    <w:rsid w:val="00765EA8"/>
    <w:rsid w:val="00771A6B"/>
    <w:rsid w:val="00772C0C"/>
    <w:rsid w:val="00780F47"/>
    <w:rsid w:val="007B0965"/>
    <w:rsid w:val="007E3D2C"/>
    <w:rsid w:val="007E76DF"/>
    <w:rsid w:val="008022AA"/>
    <w:rsid w:val="00813B0F"/>
    <w:rsid w:val="00814293"/>
    <w:rsid w:val="008146F9"/>
    <w:rsid w:val="0081486D"/>
    <w:rsid w:val="00814C2A"/>
    <w:rsid w:val="00840E8C"/>
    <w:rsid w:val="00857C6A"/>
    <w:rsid w:val="00865903"/>
    <w:rsid w:val="00887A90"/>
    <w:rsid w:val="008A4277"/>
    <w:rsid w:val="008B23A5"/>
    <w:rsid w:val="008C2A10"/>
    <w:rsid w:val="008C426A"/>
    <w:rsid w:val="008D09DA"/>
    <w:rsid w:val="008D60B5"/>
    <w:rsid w:val="008E5707"/>
    <w:rsid w:val="00907703"/>
    <w:rsid w:val="009079AD"/>
    <w:rsid w:val="0093762F"/>
    <w:rsid w:val="0094458F"/>
    <w:rsid w:val="00955CD9"/>
    <w:rsid w:val="00961A3A"/>
    <w:rsid w:val="00962911"/>
    <w:rsid w:val="0096761A"/>
    <w:rsid w:val="00972FE6"/>
    <w:rsid w:val="00974339"/>
    <w:rsid w:val="0098006E"/>
    <w:rsid w:val="00985DEE"/>
    <w:rsid w:val="009A2472"/>
    <w:rsid w:val="009A6CC9"/>
    <w:rsid w:val="009C1472"/>
    <w:rsid w:val="009C2C61"/>
    <w:rsid w:val="009C45D0"/>
    <w:rsid w:val="009D4AA8"/>
    <w:rsid w:val="009D7D24"/>
    <w:rsid w:val="009E73CF"/>
    <w:rsid w:val="00A2128F"/>
    <w:rsid w:val="00A37039"/>
    <w:rsid w:val="00A4461E"/>
    <w:rsid w:val="00A5130E"/>
    <w:rsid w:val="00A6051C"/>
    <w:rsid w:val="00A73442"/>
    <w:rsid w:val="00A77974"/>
    <w:rsid w:val="00A83ABC"/>
    <w:rsid w:val="00A92FEC"/>
    <w:rsid w:val="00AA6A6C"/>
    <w:rsid w:val="00AA7555"/>
    <w:rsid w:val="00AC20F0"/>
    <w:rsid w:val="00AC5B52"/>
    <w:rsid w:val="00AD1C4C"/>
    <w:rsid w:val="00AF3422"/>
    <w:rsid w:val="00B040BE"/>
    <w:rsid w:val="00B07128"/>
    <w:rsid w:val="00B17DFF"/>
    <w:rsid w:val="00B21F70"/>
    <w:rsid w:val="00B30772"/>
    <w:rsid w:val="00B44574"/>
    <w:rsid w:val="00B5407C"/>
    <w:rsid w:val="00B62C28"/>
    <w:rsid w:val="00B77B4B"/>
    <w:rsid w:val="00B815C7"/>
    <w:rsid w:val="00B95034"/>
    <w:rsid w:val="00BA47EC"/>
    <w:rsid w:val="00BA56E8"/>
    <w:rsid w:val="00BB0655"/>
    <w:rsid w:val="00BB41AE"/>
    <w:rsid w:val="00BD0697"/>
    <w:rsid w:val="00BD15FE"/>
    <w:rsid w:val="00BD78E0"/>
    <w:rsid w:val="00BE33A5"/>
    <w:rsid w:val="00BE4AD2"/>
    <w:rsid w:val="00BE76D2"/>
    <w:rsid w:val="00BF062D"/>
    <w:rsid w:val="00BF7E1B"/>
    <w:rsid w:val="00C01B51"/>
    <w:rsid w:val="00C340A6"/>
    <w:rsid w:val="00C348A5"/>
    <w:rsid w:val="00C42565"/>
    <w:rsid w:val="00C46FD1"/>
    <w:rsid w:val="00C677D9"/>
    <w:rsid w:val="00C747B9"/>
    <w:rsid w:val="00C84A88"/>
    <w:rsid w:val="00C868BB"/>
    <w:rsid w:val="00C90BAF"/>
    <w:rsid w:val="00CC7009"/>
    <w:rsid w:val="00CD3C73"/>
    <w:rsid w:val="00CE0EA4"/>
    <w:rsid w:val="00CE7031"/>
    <w:rsid w:val="00CF3C77"/>
    <w:rsid w:val="00D15CC3"/>
    <w:rsid w:val="00D2049A"/>
    <w:rsid w:val="00D224C9"/>
    <w:rsid w:val="00D268C8"/>
    <w:rsid w:val="00D3557B"/>
    <w:rsid w:val="00D36A5C"/>
    <w:rsid w:val="00D44E55"/>
    <w:rsid w:val="00D50454"/>
    <w:rsid w:val="00D5086B"/>
    <w:rsid w:val="00D81786"/>
    <w:rsid w:val="00D821EA"/>
    <w:rsid w:val="00D84C2F"/>
    <w:rsid w:val="00DB3660"/>
    <w:rsid w:val="00DB5F1A"/>
    <w:rsid w:val="00DD2C52"/>
    <w:rsid w:val="00DD72A9"/>
    <w:rsid w:val="00DF17A1"/>
    <w:rsid w:val="00DF5651"/>
    <w:rsid w:val="00DF5926"/>
    <w:rsid w:val="00DF5F98"/>
    <w:rsid w:val="00E164C0"/>
    <w:rsid w:val="00E412DB"/>
    <w:rsid w:val="00E5350B"/>
    <w:rsid w:val="00E61951"/>
    <w:rsid w:val="00E631CD"/>
    <w:rsid w:val="00E65365"/>
    <w:rsid w:val="00EA0429"/>
    <w:rsid w:val="00EA321E"/>
    <w:rsid w:val="00EA6BC2"/>
    <w:rsid w:val="00EB4F6E"/>
    <w:rsid w:val="00EB7D1E"/>
    <w:rsid w:val="00ED7D01"/>
    <w:rsid w:val="00EE3E75"/>
    <w:rsid w:val="00EE60D7"/>
    <w:rsid w:val="00EF1FDD"/>
    <w:rsid w:val="00F0538B"/>
    <w:rsid w:val="00F11085"/>
    <w:rsid w:val="00F133CB"/>
    <w:rsid w:val="00F15AD6"/>
    <w:rsid w:val="00F52043"/>
    <w:rsid w:val="00F77C8D"/>
    <w:rsid w:val="00F83EED"/>
    <w:rsid w:val="00FA3B7C"/>
    <w:rsid w:val="00FA6C6A"/>
    <w:rsid w:val="00FC1536"/>
    <w:rsid w:val="00FD148C"/>
    <w:rsid w:val="00FD474F"/>
    <w:rsid w:val="00FE2ECA"/>
    <w:rsid w:val="00FE6674"/>
    <w:rsid w:val="00FF1CF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3">
    <w:name w:val="Stile3"/>
    <w:basedOn w:val="Normale"/>
    <w:link w:val="Stile3Carattere"/>
    <w:qFormat/>
    <w:rsid w:val="00CE0EA4"/>
    <w:pPr>
      <w:tabs>
        <w:tab w:val="left" w:pos="5103"/>
      </w:tabs>
      <w:spacing w:line="276" w:lineRule="auto"/>
    </w:pPr>
    <w:rPr>
      <w:rFonts w:ascii="Bodoni MT" w:hAnsi="Bodoni MT"/>
      <w:sz w:val="22"/>
      <w:szCs w:val="22"/>
    </w:rPr>
  </w:style>
  <w:style w:type="character" w:customStyle="1" w:styleId="Stile3Carattere">
    <w:name w:val="Stile3 Carattere"/>
    <w:link w:val="Stile3"/>
    <w:rsid w:val="00CE0EA4"/>
    <w:rPr>
      <w:rFonts w:ascii="Bodoni MT" w:eastAsia="Times New Roman" w:hAnsi="Bodoni MT" w:cs="Times New Roman"/>
      <w:lang w:eastAsia="it-IT"/>
    </w:rPr>
  </w:style>
  <w:style w:type="paragraph" w:styleId="Paragrafoelenco">
    <w:name w:val="List Paragraph"/>
    <w:basedOn w:val="Normale"/>
    <w:uiPriority w:val="34"/>
    <w:qFormat/>
    <w:rsid w:val="00152514"/>
    <w:pPr>
      <w:ind w:left="720"/>
      <w:contextualSpacing/>
    </w:pPr>
  </w:style>
  <w:style w:type="paragraph" w:styleId="NormaleWeb">
    <w:name w:val="Normal (Web)"/>
    <w:basedOn w:val="Normale"/>
    <w:rsid w:val="002A4FD8"/>
    <w:pPr>
      <w:spacing w:before="100" w:beforeAutospacing="1" w:after="100" w:afterAutospacing="1"/>
      <w:jc w:val="both"/>
    </w:pPr>
    <w:rPr>
      <w:rFonts w:ascii="Arial Unicode MS" w:eastAsia="Arial Unicode MS" w:hAnsi="Arial Unicode MS" w:cs="Arial Unicode MS"/>
    </w:rPr>
  </w:style>
  <w:style w:type="paragraph" w:styleId="Rientrocorpodeltesto">
    <w:name w:val="Body Text Indent"/>
    <w:basedOn w:val="Normale"/>
    <w:link w:val="RientrocorpodeltestoCarattere"/>
    <w:rsid w:val="002A4FD8"/>
    <w:pPr>
      <w:autoSpaceDE w:val="0"/>
      <w:autoSpaceDN w:val="0"/>
      <w:adjustRightInd w:val="0"/>
      <w:spacing w:line="480" w:lineRule="auto"/>
      <w:ind w:left="360"/>
      <w:jc w:val="both"/>
    </w:pPr>
    <w:rPr>
      <w:rFonts w:ascii="Verdana" w:eastAsia="ArialUnicodeMS" w:hAnsi="Verdana"/>
      <w:color w:val="000000"/>
      <w:sz w:val="20"/>
      <w:szCs w:val="20"/>
    </w:rPr>
  </w:style>
  <w:style w:type="character" w:customStyle="1" w:styleId="RientrocorpodeltestoCarattere">
    <w:name w:val="Rientro corpo del testo Carattere"/>
    <w:basedOn w:val="Carpredefinitoparagrafo"/>
    <w:link w:val="Rientrocorpodeltesto"/>
    <w:rsid w:val="002A4FD8"/>
    <w:rPr>
      <w:rFonts w:ascii="Verdana" w:eastAsia="ArialUnicodeMS" w:hAnsi="Verdana" w:cs="Times New Roman"/>
      <w:color w:val="000000"/>
      <w:sz w:val="20"/>
      <w:szCs w:val="20"/>
      <w:lang w:eastAsia="it-IT"/>
    </w:rPr>
  </w:style>
  <w:style w:type="paragraph" w:styleId="Titolo">
    <w:name w:val="Title"/>
    <w:basedOn w:val="Normale"/>
    <w:link w:val="TitoloCarattere"/>
    <w:qFormat/>
    <w:rsid w:val="00B44574"/>
    <w:pPr>
      <w:widowControl w:val="0"/>
      <w:spacing w:line="567" w:lineRule="exact"/>
      <w:jc w:val="center"/>
    </w:pPr>
    <w:rPr>
      <w:b/>
      <w:szCs w:val="20"/>
    </w:rPr>
  </w:style>
  <w:style w:type="character" w:customStyle="1" w:styleId="TitoloCarattere">
    <w:name w:val="Titolo Carattere"/>
    <w:basedOn w:val="Carpredefinitoparagrafo"/>
    <w:link w:val="Titolo"/>
    <w:rsid w:val="00B44574"/>
    <w:rPr>
      <w:rFonts w:ascii="Times New Roman" w:eastAsia="Times New Roman" w:hAnsi="Times New Roman" w:cs="Times New Roman"/>
      <w:b/>
      <w:sz w:val="24"/>
      <w:szCs w:val="20"/>
      <w:lang w:eastAsia="it-IT"/>
    </w:rPr>
  </w:style>
  <w:style w:type="character" w:styleId="Rimandocommento">
    <w:name w:val="annotation reference"/>
    <w:basedOn w:val="Carpredefinitoparagrafo"/>
    <w:uiPriority w:val="99"/>
    <w:semiHidden/>
    <w:unhideWhenUsed/>
    <w:rsid w:val="00186AE3"/>
    <w:rPr>
      <w:sz w:val="18"/>
      <w:szCs w:val="18"/>
    </w:rPr>
  </w:style>
  <w:style w:type="paragraph" w:styleId="Testocommento">
    <w:name w:val="annotation text"/>
    <w:basedOn w:val="Normale"/>
    <w:link w:val="TestocommentoCarattere"/>
    <w:uiPriority w:val="99"/>
    <w:semiHidden/>
    <w:unhideWhenUsed/>
    <w:rsid w:val="00186AE3"/>
  </w:style>
  <w:style w:type="character" w:customStyle="1" w:styleId="TestocommentoCarattere">
    <w:name w:val="Testo commento Carattere"/>
    <w:basedOn w:val="Carpredefinitoparagrafo"/>
    <w:link w:val="Testocommento"/>
    <w:uiPriority w:val="99"/>
    <w:semiHidden/>
    <w:rsid w:val="00186AE3"/>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186AE3"/>
    <w:rPr>
      <w:b/>
      <w:bCs/>
      <w:sz w:val="20"/>
      <w:szCs w:val="20"/>
    </w:rPr>
  </w:style>
  <w:style w:type="character" w:customStyle="1" w:styleId="SoggettocommentoCarattere">
    <w:name w:val="Soggetto commento Carattere"/>
    <w:basedOn w:val="TestocommentoCarattere"/>
    <w:link w:val="Soggettocommento"/>
    <w:uiPriority w:val="99"/>
    <w:semiHidden/>
    <w:rsid w:val="00186AE3"/>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86AE3"/>
    <w:rPr>
      <w:sz w:val="18"/>
      <w:szCs w:val="18"/>
    </w:rPr>
  </w:style>
  <w:style w:type="character" w:customStyle="1" w:styleId="TestofumettoCarattere">
    <w:name w:val="Testo fumetto Carattere"/>
    <w:basedOn w:val="Carpredefinitoparagrafo"/>
    <w:link w:val="Testofumetto"/>
    <w:uiPriority w:val="99"/>
    <w:semiHidden/>
    <w:rsid w:val="00186AE3"/>
    <w:rPr>
      <w:rFonts w:ascii="Times New Roman" w:eastAsia="Times New Roman" w:hAnsi="Times New Roman" w:cs="Times New Roman"/>
      <w:sz w:val="18"/>
      <w:szCs w:val="18"/>
      <w:lang w:eastAsia="it-IT"/>
    </w:rPr>
  </w:style>
  <w:style w:type="paragraph" w:styleId="Corpodeltesto">
    <w:name w:val="Body Text"/>
    <w:basedOn w:val="Normale"/>
    <w:link w:val="CorpodeltestoCarattere"/>
    <w:uiPriority w:val="99"/>
    <w:unhideWhenUsed/>
    <w:rsid w:val="00641BA7"/>
    <w:pPr>
      <w:spacing w:after="120"/>
    </w:pPr>
  </w:style>
  <w:style w:type="character" w:customStyle="1" w:styleId="CorpodeltestoCarattere">
    <w:name w:val="Corpo del testo Carattere"/>
    <w:basedOn w:val="Carpredefinitoparagrafo"/>
    <w:link w:val="Corpodeltesto"/>
    <w:uiPriority w:val="99"/>
    <w:rsid w:val="00641BA7"/>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334A79"/>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rsid w:val="00334A79"/>
    <w:rPr>
      <w:sz w:val="24"/>
      <w:szCs w:val="24"/>
    </w:rPr>
  </w:style>
  <w:style w:type="character" w:styleId="Rimandonotaapidipagina">
    <w:name w:val="footnote reference"/>
    <w:basedOn w:val="Carpredefinitoparagrafo"/>
    <w:uiPriority w:val="99"/>
    <w:unhideWhenUsed/>
    <w:rsid w:val="00334A79"/>
    <w:rPr>
      <w:vertAlign w:val="superscript"/>
    </w:rPr>
  </w:style>
  <w:style w:type="paragraph" w:styleId="Intestazione">
    <w:name w:val="header"/>
    <w:basedOn w:val="Normale"/>
    <w:link w:val="IntestazioneCarattere"/>
    <w:uiPriority w:val="99"/>
    <w:unhideWhenUsed/>
    <w:rsid w:val="00106618"/>
    <w:pPr>
      <w:tabs>
        <w:tab w:val="center" w:pos="4819"/>
        <w:tab w:val="right" w:pos="9638"/>
      </w:tabs>
    </w:pPr>
  </w:style>
  <w:style w:type="character" w:customStyle="1" w:styleId="IntestazioneCarattere">
    <w:name w:val="Intestazione Carattere"/>
    <w:basedOn w:val="Carpredefinitoparagrafo"/>
    <w:link w:val="Intestazione"/>
    <w:uiPriority w:val="99"/>
    <w:rsid w:val="0010661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06618"/>
    <w:pPr>
      <w:tabs>
        <w:tab w:val="center" w:pos="4819"/>
        <w:tab w:val="right" w:pos="9638"/>
      </w:tabs>
    </w:pPr>
  </w:style>
  <w:style w:type="character" w:customStyle="1" w:styleId="PidipaginaCarattere">
    <w:name w:val="Piè di pagina Carattere"/>
    <w:basedOn w:val="Carpredefinitoparagrafo"/>
    <w:link w:val="Pidipagina"/>
    <w:uiPriority w:val="99"/>
    <w:rsid w:val="00106618"/>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5095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9E99-F814-4107-991A-E176EDC5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3077</Words>
  <Characters>17543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Reale Annachiara</dc:creator>
  <cp:lastModifiedBy>Farinella Enrico</cp:lastModifiedBy>
  <cp:revision>2</cp:revision>
  <cp:lastPrinted>2017-05-02T08:48:00Z</cp:lastPrinted>
  <dcterms:created xsi:type="dcterms:W3CDTF">2018-03-28T08:09:00Z</dcterms:created>
  <dcterms:modified xsi:type="dcterms:W3CDTF">2018-03-28T08:09:00Z</dcterms:modified>
</cp:coreProperties>
</file>